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0D0F7FF0" w14:textId="25D7D83E" w:rsidR="00156F0D" w:rsidRPr="006D0240" w:rsidRDefault="00156F0D" w:rsidP="00156F0D">
          <w:pPr>
            <w:pStyle w:val="ListParagraph"/>
          </w:pPr>
          <w:r>
            <w:rPr>
              <w:noProof/>
            </w:rPr>
            <w:drawing>
              <wp:anchor distT="0" distB="0" distL="114300" distR="114300" simplePos="0" relativeHeight="251658240" behindDoc="1" locked="0" layoutInCell="1" allowOverlap="1" wp14:anchorId="321B18EA" wp14:editId="1DBB01F3">
                <wp:simplePos x="0" y="0"/>
                <wp:positionH relativeFrom="margin">
                  <wp:posOffset>-909955</wp:posOffset>
                </wp:positionH>
                <wp:positionV relativeFrom="page">
                  <wp:posOffset>-18560</wp:posOffset>
                </wp:positionV>
                <wp:extent cx="7570800" cy="10709019"/>
                <wp:effectExtent l="0" t="0" r="0" b="0"/>
                <wp:wrapNone/>
                <wp:docPr id="4" name="Picture 4" descr="A white background with blue and grey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ue and grey shap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E4BDC" w14:textId="77777777" w:rsidR="00FC7BD3" w:rsidRPr="006D0240" w:rsidRDefault="00FC7BD3" w:rsidP="00156F0D">
          <w:pPr>
            <w:pStyle w:val="ListParagraph"/>
          </w:pPr>
        </w:p>
        <w:p w14:paraId="26ABD562" w14:textId="77777777" w:rsidR="00156F0D" w:rsidRPr="006D0240" w:rsidRDefault="00156F0D" w:rsidP="00156F0D">
          <w:pPr>
            <w:pStyle w:val="Header"/>
            <w:spacing w:after="1200"/>
          </w:pPr>
        </w:p>
        <w:p w14:paraId="2925D71C" w14:textId="78CCD5F7" w:rsidR="00156F0D" w:rsidRPr="006923DF" w:rsidRDefault="00156F0D" w:rsidP="00156F0D">
          <w:pPr>
            <w:pStyle w:val="Title"/>
            <w:tabs>
              <w:tab w:val="left" w:pos="6379"/>
            </w:tabs>
            <w:spacing w:after="120" w:line="720" w:lineRule="exact"/>
            <w:ind w:right="1982"/>
          </w:pPr>
          <w:r>
            <w:t>Merger Notification Thresholds</w:t>
          </w:r>
        </w:p>
        <w:p w14:paraId="2BBA2417" w14:textId="77777777" w:rsidR="00156F0D" w:rsidRPr="006923DF" w:rsidRDefault="00156F0D" w:rsidP="00156F0D">
          <w:pPr>
            <w:pStyle w:val="Subtitle"/>
            <w:spacing w:after="360"/>
          </w:pPr>
          <w:r w:rsidRPr="006923DF">
            <w:fldChar w:fldCharType="begin"/>
          </w:r>
          <w:r w:rsidRPr="006923DF">
            <w:instrText xml:space="preserve"> macrobutton NoMacro [Sub title]</w:instrText>
          </w:r>
          <w:r w:rsidRPr="006923DF">
            <w:fldChar w:fldCharType="end"/>
          </w:r>
        </w:p>
        <w:p w14:paraId="1F0754CF" w14:textId="1B9541EB" w:rsidR="00156F0D" w:rsidRPr="00586605" w:rsidRDefault="004C4C9C" w:rsidP="00156F0D">
          <w:pPr>
            <w:pStyle w:val="ReportDate"/>
          </w:pPr>
          <w:r>
            <w:rPr>
              <w:rStyle w:val="ReportDateChar"/>
            </w:rPr>
            <w:t>30</w:t>
          </w:r>
          <w:r w:rsidR="00DE00FF">
            <w:rPr>
              <w:rStyle w:val="ReportDateChar"/>
            </w:rPr>
            <w:t xml:space="preserve"> </w:t>
          </w:r>
          <w:r w:rsidR="00156F0D">
            <w:rPr>
              <w:rStyle w:val="ReportDateChar"/>
            </w:rPr>
            <w:t>August 2024</w:t>
          </w:r>
        </w:p>
        <w:p w14:paraId="774D437E" w14:textId="77777777" w:rsidR="00156F0D" w:rsidRDefault="00156F0D" w:rsidP="00156F0D">
          <w:pPr>
            <w:spacing w:before="0" w:after="160" w:line="259" w:lineRule="auto"/>
            <w:rPr>
              <w:noProof/>
            </w:rPr>
          </w:pPr>
        </w:p>
        <w:p w14:paraId="605F8DD4" w14:textId="77777777" w:rsidR="00156F0D" w:rsidRDefault="00156F0D" w:rsidP="00156F0D">
          <w:pPr>
            <w:spacing w:before="0" w:after="160" w:line="259" w:lineRule="auto"/>
            <w:rPr>
              <w:noProof/>
            </w:rPr>
          </w:pPr>
        </w:p>
        <w:p w14:paraId="73F9FDA8" w14:textId="2EABD3FD" w:rsidR="00156F0D" w:rsidRDefault="00156F0D" w:rsidP="00156F0D">
          <w:pPr>
            <w:spacing w:before="0" w:after="160" w:line="259" w:lineRule="auto"/>
          </w:pPr>
          <w:r>
            <w:br w:type="page"/>
          </w:r>
        </w:p>
      </w:sdtContent>
    </w:sdt>
    <w:p w14:paraId="58850D2B" w14:textId="33A38552" w:rsidR="00156F0D" w:rsidRDefault="00156F0D" w:rsidP="00156F0D">
      <w:pPr>
        <w:spacing w:before="0" w:after="160" w:line="259" w:lineRule="auto"/>
      </w:pPr>
      <w:r w:rsidRPr="00661BF0">
        <w:lastRenderedPageBreak/>
        <w:t xml:space="preserve">© Commonwealth of </w:t>
      </w:r>
      <w:r w:rsidRPr="000C1423">
        <w:t>Australia 2024</w:t>
      </w:r>
    </w:p>
    <w:p w14:paraId="3B3F00F4" w14:textId="4D41FB3C" w:rsidR="00156F0D" w:rsidRPr="00086F82" w:rsidRDefault="00156F0D" w:rsidP="00156F0D">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B147604" w14:textId="648F9218" w:rsidR="00156F0D" w:rsidRDefault="00156F0D" w:rsidP="00156F0D">
      <w:pPr>
        <w:pStyle w:val="ChartGraphic"/>
        <w:jc w:val="left"/>
      </w:pPr>
      <w:r w:rsidRPr="00E56DFB">
        <w:rPr>
          <w:noProof/>
        </w:rPr>
        <w:drawing>
          <wp:inline distT="0" distB="0" distL="0" distR="0" wp14:anchorId="552D3496" wp14:editId="424736C2">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B006E70" w14:textId="77777777" w:rsidR="00156F0D" w:rsidRPr="006627B4" w:rsidRDefault="00156F0D" w:rsidP="00156F0D">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t xml:space="preserve"> l</w:t>
      </w:r>
      <w:r w:rsidRPr="006627B4">
        <w:t>icence requires you to attribute the work (but not in any way that suggests that the Treasury endorse</w:t>
      </w:r>
      <w:r>
        <w:t>s you or your use of the work).</w:t>
      </w:r>
    </w:p>
    <w:p w14:paraId="3A99A99C" w14:textId="77777777" w:rsidR="00156F0D" w:rsidRPr="006469CC" w:rsidRDefault="00156F0D" w:rsidP="00156F0D">
      <w:pPr>
        <w:spacing w:before="240"/>
        <w:rPr>
          <w:b/>
        </w:rPr>
      </w:pPr>
      <w:r w:rsidRPr="006469CC">
        <w:rPr>
          <w:b/>
        </w:rPr>
        <w:t>Treasury material used ‘as supplied’</w:t>
      </w:r>
    </w:p>
    <w:p w14:paraId="340CA73B" w14:textId="77777777" w:rsidR="00156F0D" w:rsidRPr="00476F09" w:rsidRDefault="00156F0D" w:rsidP="00156F0D">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47848F0" w14:textId="51774342" w:rsidR="00156F0D" w:rsidRPr="00A13A11" w:rsidRDefault="00156F0D" w:rsidP="00156F0D">
      <w:pPr>
        <w:ind w:firstLine="720"/>
      </w:pPr>
      <w:r w:rsidRPr="002F1BC2">
        <w:rPr>
          <w:i/>
        </w:rPr>
        <w:t xml:space="preserve">Source: The </w:t>
      </w:r>
      <w:r w:rsidRPr="002F1BC2">
        <w:rPr>
          <w:i/>
          <w:iCs/>
        </w:rPr>
        <w:t>Australian Government the Treasury</w:t>
      </w:r>
      <w:r>
        <w:t>.</w:t>
      </w:r>
    </w:p>
    <w:p w14:paraId="75931C77" w14:textId="77777777" w:rsidR="00156F0D" w:rsidRPr="006627B4" w:rsidRDefault="00156F0D" w:rsidP="00156F0D">
      <w:pPr>
        <w:spacing w:before="240"/>
      </w:pPr>
      <w:r w:rsidRPr="00CC63CC">
        <w:rPr>
          <w:b/>
        </w:rPr>
        <w:t>Derivative</w:t>
      </w:r>
      <w:r w:rsidRPr="006627B4">
        <w:t xml:space="preserve"> </w:t>
      </w:r>
      <w:r w:rsidRPr="00CC63CC">
        <w:rPr>
          <w:b/>
        </w:rPr>
        <w:t>material</w:t>
      </w:r>
    </w:p>
    <w:p w14:paraId="27B7F60C" w14:textId="77777777" w:rsidR="00156F0D" w:rsidRPr="006627B4" w:rsidRDefault="00156F0D" w:rsidP="00156F0D">
      <w:r w:rsidRPr="006627B4">
        <w:t xml:space="preserve">If you have modified or transformed Treasury material, or derived new material from those of the Treasury in any way, then Treasury prefers the following attribution: </w:t>
      </w:r>
    </w:p>
    <w:p w14:paraId="5766E4BA" w14:textId="148D9F8D" w:rsidR="00156F0D" w:rsidRPr="006627B4" w:rsidRDefault="00156F0D" w:rsidP="00156F0D">
      <w:pPr>
        <w:ind w:firstLine="720"/>
      </w:pPr>
      <w:r w:rsidRPr="002F1BC2">
        <w:rPr>
          <w:i/>
        </w:rPr>
        <w:t>Based on The Australian Government the Treasury data</w:t>
      </w:r>
      <w:r>
        <w:t>.</w:t>
      </w:r>
    </w:p>
    <w:p w14:paraId="2161A085" w14:textId="77777777" w:rsidR="00156F0D" w:rsidRPr="006627B4" w:rsidRDefault="00156F0D" w:rsidP="00156F0D">
      <w:pPr>
        <w:spacing w:before="240"/>
        <w:rPr>
          <w:b/>
        </w:rPr>
      </w:pPr>
      <w:r w:rsidRPr="006627B4">
        <w:rPr>
          <w:b/>
        </w:rPr>
        <w:t>Use of the Coat of Arms</w:t>
      </w:r>
    </w:p>
    <w:p w14:paraId="3957C5D7" w14:textId="77777777" w:rsidR="00156F0D" w:rsidRPr="005C503A" w:rsidRDefault="00156F0D" w:rsidP="00156F0D">
      <w:pPr>
        <w:spacing w:before="240"/>
      </w:pPr>
      <w:r w:rsidRPr="005C503A">
        <w:t xml:space="preserve">The terms under which the Coat of Arms can be used are set out on the Department of the Prime Minister and Cabinet website (see </w:t>
      </w:r>
      <w:hyperlink r:id="rId13" w:history="1">
        <w:r>
          <w:rPr>
            <w:rStyle w:val="Hyperlink"/>
          </w:rPr>
          <w:t>https://www.pmc.gov.au/honours-and-symbols/commonwealth-coat-arms</w:t>
        </w:r>
      </w:hyperlink>
      <w:r w:rsidRPr="005C503A">
        <w:t>).</w:t>
      </w:r>
    </w:p>
    <w:p w14:paraId="774D936E" w14:textId="77777777" w:rsidR="00156F0D" w:rsidRPr="006627B4" w:rsidRDefault="00156F0D" w:rsidP="00156F0D">
      <w:pPr>
        <w:spacing w:before="240"/>
        <w:rPr>
          <w:b/>
        </w:rPr>
      </w:pPr>
      <w:r>
        <w:rPr>
          <w:b/>
        </w:rPr>
        <w:t>Other u</w:t>
      </w:r>
      <w:r w:rsidRPr="006627B4">
        <w:rPr>
          <w:b/>
        </w:rPr>
        <w:t>ses</w:t>
      </w:r>
    </w:p>
    <w:p w14:paraId="761DEA5A" w14:textId="77777777" w:rsidR="00156F0D" w:rsidRPr="006627B4" w:rsidRDefault="00156F0D" w:rsidP="00156F0D">
      <w:r>
        <w:t>E</w:t>
      </w:r>
      <w:r w:rsidRPr="006627B4">
        <w:t>nquiries regarding this licence and any other use of this document are welcome at:</w:t>
      </w:r>
    </w:p>
    <w:p w14:paraId="74B48796" w14:textId="32E3CBD3" w:rsidR="00156F0D" w:rsidRPr="002F1BC2" w:rsidRDefault="00156F0D" w:rsidP="00156F0D">
      <w:pPr>
        <w:ind w:left="720"/>
        <w:rPr>
          <w:rStyle w:val="Hyperlink"/>
        </w:rPr>
      </w:pPr>
      <w:r w:rsidRPr="006627B4">
        <w:t>Manager</w:t>
      </w:r>
      <w:r>
        <w:br/>
        <w:t>Media Unit</w:t>
      </w:r>
      <w:r>
        <w:br/>
      </w:r>
      <w:r w:rsidRPr="006627B4">
        <w:t>The Treasury</w:t>
      </w:r>
      <w:r>
        <w:br/>
      </w:r>
      <w:r w:rsidRPr="006627B4">
        <w:t xml:space="preserve">Langton Crescent </w:t>
      </w:r>
      <w:r>
        <w:br/>
      </w:r>
      <w:r w:rsidRPr="006627B4">
        <w:t>Parkes ACT 2600</w:t>
      </w:r>
      <w:r>
        <w:br/>
      </w:r>
      <w:r w:rsidRPr="006627B4">
        <w:t xml:space="preserve">Email: </w:t>
      </w:r>
      <w:hyperlink r:id="rId14" w:history="1">
        <w:r>
          <w:rPr>
            <w:rStyle w:val="Hyperlink"/>
          </w:rPr>
          <w:t>media@treasury.gov.au</w:t>
        </w:r>
      </w:hyperlink>
    </w:p>
    <w:p w14:paraId="4CC2804D" w14:textId="77777777" w:rsidR="00156F0D" w:rsidRDefault="00156F0D" w:rsidP="00156F0D">
      <w:pPr>
        <w:pStyle w:val="Heading1"/>
        <w:sectPr w:rsidR="00156F0D" w:rsidSect="00156F0D">
          <w:footerReference w:type="even" r:id="rId15"/>
          <w:footerReference w:type="first" r:id="rId16"/>
          <w:pgSz w:w="11906" w:h="16838" w:code="9"/>
          <w:pgMar w:top="1843" w:right="1418" w:bottom="1418" w:left="1418" w:header="709" w:footer="709" w:gutter="0"/>
          <w:pgNumType w:fmt="lowerRoman" w:start="0"/>
          <w:cols w:space="708"/>
          <w:titlePg/>
          <w:docGrid w:linePitch="360"/>
        </w:sectPr>
      </w:pPr>
    </w:p>
    <w:p w14:paraId="5A34F88E" w14:textId="77777777" w:rsidR="002205E8" w:rsidRDefault="00156F0D" w:rsidP="00994CEF">
      <w:pPr>
        <w:pStyle w:val="Heading1"/>
      </w:pPr>
      <w:bookmarkStart w:id="0" w:name="_Toc176443930"/>
      <w:bookmarkStart w:id="1" w:name="_Toc111026801"/>
      <w:r w:rsidRPr="001F1B27">
        <w:lastRenderedPageBreak/>
        <w:t>Contents</w:t>
      </w:r>
      <w:bookmarkEnd w:id="0"/>
    </w:p>
    <w:p w14:paraId="002E9B8E" w14:textId="317662FF" w:rsidR="0044159E" w:rsidRDefault="00156F0D">
      <w:pPr>
        <w:pStyle w:val="TOC1"/>
        <w:rPr>
          <w:rFonts w:asciiTheme="minorHAnsi" w:eastAsiaTheme="minorEastAsia" w:hAnsiTheme="minorHAnsi" w:cstheme="minorBidi"/>
          <w:b w:val="0"/>
          <w:color w:val="auto"/>
          <w:kern w:val="2"/>
          <w:sz w:val="24"/>
          <w:szCs w:val="24"/>
          <w14:ligatures w14:val="standardContextual"/>
        </w:rPr>
      </w:pP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hyperlink w:anchor="_Toc176443930" w:history="1">
        <w:r w:rsidR="0044159E" w:rsidRPr="004309DD">
          <w:rPr>
            <w:rStyle w:val="Hyperlink"/>
          </w:rPr>
          <w:t>Contents</w:t>
        </w:r>
        <w:r w:rsidR="0044159E">
          <w:rPr>
            <w:webHidden/>
          </w:rPr>
          <w:tab/>
        </w:r>
        <w:r w:rsidR="0044159E">
          <w:rPr>
            <w:webHidden/>
          </w:rPr>
          <w:fldChar w:fldCharType="begin"/>
        </w:r>
        <w:r w:rsidR="0044159E">
          <w:rPr>
            <w:webHidden/>
          </w:rPr>
          <w:instrText xml:space="preserve"> PAGEREF _Toc176443930 \h </w:instrText>
        </w:r>
        <w:r w:rsidR="0044159E">
          <w:rPr>
            <w:webHidden/>
          </w:rPr>
        </w:r>
        <w:r w:rsidR="0044159E">
          <w:rPr>
            <w:webHidden/>
          </w:rPr>
          <w:fldChar w:fldCharType="separate"/>
        </w:r>
        <w:r w:rsidR="00364D65">
          <w:rPr>
            <w:webHidden/>
          </w:rPr>
          <w:t>iii</w:t>
        </w:r>
        <w:r w:rsidR="0044159E">
          <w:rPr>
            <w:webHidden/>
          </w:rPr>
          <w:fldChar w:fldCharType="end"/>
        </w:r>
      </w:hyperlink>
    </w:p>
    <w:p w14:paraId="17123A41" w14:textId="37CEFFFB"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31" w:history="1">
        <w:r w:rsidR="0044159E" w:rsidRPr="004309DD">
          <w:rPr>
            <w:rStyle w:val="Hyperlink"/>
          </w:rPr>
          <w:t>Consultation process</w:t>
        </w:r>
        <w:r w:rsidR="0044159E">
          <w:rPr>
            <w:webHidden/>
          </w:rPr>
          <w:tab/>
        </w:r>
        <w:r w:rsidR="0044159E">
          <w:rPr>
            <w:webHidden/>
          </w:rPr>
          <w:fldChar w:fldCharType="begin"/>
        </w:r>
        <w:r w:rsidR="0044159E">
          <w:rPr>
            <w:webHidden/>
          </w:rPr>
          <w:instrText xml:space="preserve"> PAGEREF _Toc176443931 \h </w:instrText>
        </w:r>
        <w:r w:rsidR="0044159E">
          <w:rPr>
            <w:webHidden/>
          </w:rPr>
        </w:r>
        <w:r w:rsidR="0044159E">
          <w:rPr>
            <w:webHidden/>
          </w:rPr>
          <w:fldChar w:fldCharType="separate"/>
        </w:r>
        <w:r w:rsidR="00364D65">
          <w:rPr>
            <w:webHidden/>
          </w:rPr>
          <w:t>4</w:t>
        </w:r>
        <w:r w:rsidR="0044159E">
          <w:rPr>
            <w:webHidden/>
          </w:rPr>
          <w:fldChar w:fldCharType="end"/>
        </w:r>
      </w:hyperlink>
    </w:p>
    <w:p w14:paraId="315194C6" w14:textId="5BCE0CC5"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32" w:history="1">
        <w:r w:rsidR="0044159E" w:rsidRPr="004309DD">
          <w:rPr>
            <w:rStyle w:val="Hyperlink"/>
          </w:rPr>
          <w:t>Request for feedback and comments</w:t>
        </w:r>
        <w:r w:rsidR="0044159E">
          <w:rPr>
            <w:webHidden/>
          </w:rPr>
          <w:tab/>
        </w:r>
        <w:r w:rsidR="0044159E">
          <w:rPr>
            <w:webHidden/>
          </w:rPr>
          <w:fldChar w:fldCharType="begin"/>
        </w:r>
        <w:r w:rsidR="0044159E">
          <w:rPr>
            <w:webHidden/>
          </w:rPr>
          <w:instrText xml:space="preserve"> PAGEREF _Toc176443932 \h </w:instrText>
        </w:r>
        <w:r w:rsidR="0044159E">
          <w:rPr>
            <w:webHidden/>
          </w:rPr>
        </w:r>
        <w:r w:rsidR="0044159E">
          <w:rPr>
            <w:webHidden/>
          </w:rPr>
          <w:fldChar w:fldCharType="separate"/>
        </w:r>
        <w:r w:rsidR="00364D65">
          <w:rPr>
            <w:webHidden/>
          </w:rPr>
          <w:t>4</w:t>
        </w:r>
        <w:r w:rsidR="0044159E">
          <w:rPr>
            <w:webHidden/>
          </w:rPr>
          <w:fldChar w:fldCharType="end"/>
        </w:r>
      </w:hyperlink>
    </w:p>
    <w:p w14:paraId="21C54AE0" w14:textId="6B32D6F8" w:rsidR="0044159E" w:rsidRDefault="00A549E8">
      <w:pPr>
        <w:pStyle w:val="TOC3"/>
        <w:rPr>
          <w:rFonts w:asciiTheme="minorHAnsi" w:eastAsiaTheme="minorEastAsia" w:hAnsiTheme="minorHAnsi" w:cstheme="minorBidi"/>
          <w:kern w:val="2"/>
          <w:sz w:val="24"/>
          <w:szCs w:val="24"/>
          <w14:ligatures w14:val="standardContextual"/>
        </w:rPr>
      </w:pPr>
      <w:hyperlink w:anchor="_Toc176443933" w:history="1">
        <w:r w:rsidR="0044159E" w:rsidRPr="004309DD">
          <w:rPr>
            <w:rStyle w:val="Hyperlink"/>
          </w:rPr>
          <w:t>Publication of submissions and confidentiality</w:t>
        </w:r>
        <w:r w:rsidR="0044159E">
          <w:rPr>
            <w:webHidden/>
          </w:rPr>
          <w:tab/>
        </w:r>
        <w:r w:rsidR="0044159E">
          <w:rPr>
            <w:webHidden/>
          </w:rPr>
          <w:fldChar w:fldCharType="begin"/>
        </w:r>
        <w:r w:rsidR="0044159E">
          <w:rPr>
            <w:webHidden/>
          </w:rPr>
          <w:instrText xml:space="preserve"> PAGEREF _Toc176443933 \h </w:instrText>
        </w:r>
        <w:r w:rsidR="0044159E">
          <w:rPr>
            <w:webHidden/>
          </w:rPr>
        </w:r>
        <w:r w:rsidR="0044159E">
          <w:rPr>
            <w:webHidden/>
          </w:rPr>
          <w:fldChar w:fldCharType="separate"/>
        </w:r>
        <w:r w:rsidR="00364D65">
          <w:rPr>
            <w:webHidden/>
          </w:rPr>
          <w:t>4</w:t>
        </w:r>
        <w:r w:rsidR="0044159E">
          <w:rPr>
            <w:webHidden/>
          </w:rPr>
          <w:fldChar w:fldCharType="end"/>
        </w:r>
      </w:hyperlink>
    </w:p>
    <w:p w14:paraId="28D6425A" w14:textId="481CE3E5" w:rsidR="0044159E" w:rsidRDefault="00A549E8">
      <w:pPr>
        <w:pStyle w:val="TOC3"/>
        <w:rPr>
          <w:rFonts w:asciiTheme="minorHAnsi" w:eastAsiaTheme="minorEastAsia" w:hAnsiTheme="minorHAnsi" w:cstheme="minorBidi"/>
          <w:kern w:val="2"/>
          <w:sz w:val="24"/>
          <w:szCs w:val="24"/>
          <w14:ligatures w14:val="standardContextual"/>
        </w:rPr>
      </w:pPr>
      <w:hyperlink w:anchor="_Toc176443934" w:history="1">
        <w:r w:rsidR="0044159E" w:rsidRPr="004309DD">
          <w:rPr>
            <w:rStyle w:val="Hyperlink"/>
          </w:rPr>
          <w:t>Closing date for submissions: 20 September 2024</w:t>
        </w:r>
        <w:r w:rsidR="0044159E">
          <w:rPr>
            <w:webHidden/>
          </w:rPr>
          <w:tab/>
        </w:r>
        <w:r w:rsidR="0044159E">
          <w:rPr>
            <w:webHidden/>
          </w:rPr>
          <w:fldChar w:fldCharType="begin"/>
        </w:r>
        <w:r w:rsidR="0044159E">
          <w:rPr>
            <w:webHidden/>
          </w:rPr>
          <w:instrText xml:space="preserve"> PAGEREF _Toc176443934 \h </w:instrText>
        </w:r>
        <w:r w:rsidR="0044159E">
          <w:rPr>
            <w:webHidden/>
          </w:rPr>
        </w:r>
        <w:r w:rsidR="0044159E">
          <w:rPr>
            <w:webHidden/>
          </w:rPr>
          <w:fldChar w:fldCharType="separate"/>
        </w:r>
        <w:r w:rsidR="00364D65">
          <w:rPr>
            <w:webHidden/>
          </w:rPr>
          <w:t>4</w:t>
        </w:r>
        <w:r w:rsidR="0044159E">
          <w:rPr>
            <w:webHidden/>
          </w:rPr>
          <w:fldChar w:fldCharType="end"/>
        </w:r>
      </w:hyperlink>
    </w:p>
    <w:p w14:paraId="3EBC3B68" w14:textId="4BE3328D"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35" w:history="1">
        <w:r w:rsidR="0044159E" w:rsidRPr="004309DD">
          <w:rPr>
            <w:rStyle w:val="Hyperlink"/>
          </w:rPr>
          <w:t>Executive summary</w:t>
        </w:r>
        <w:r w:rsidR="0044159E">
          <w:rPr>
            <w:webHidden/>
          </w:rPr>
          <w:tab/>
        </w:r>
        <w:r w:rsidR="0044159E">
          <w:rPr>
            <w:webHidden/>
          </w:rPr>
          <w:fldChar w:fldCharType="begin"/>
        </w:r>
        <w:r w:rsidR="0044159E">
          <w:rPr>
            <w:webHidden/>
          </w:rPr>
          <w:instrText xml:space="preserve"> PAGEREF _Toc176443935 \h </w:instrText>
        </w:r>
        <w:r w:rsidR="0044159E">
          <w:rPr>
            <w:webHidden/>
          </w:rPr>
        </w:r>
        <w:r w:rsidR="0044159E">
          <w:rPr>
            <w:webHidden/>
          </w:rPr>
          <w:fldChar w:fldCharType="separate"/>
        </w:r>
        <w:r w:rsidR="00364D65">
          <w:rPr>
            <w:webHidden/>
          </w:rPr>
          <w:t>5</w:t>
        </w:r>
        <w:r w:rsidR="0044159E">
          <w:rPr>
            <w:webHidden/>
          </w:rPr>
          <w:fldChar w:fldCharType="end"/>
        </w:r>
      </w:hyperlink>
    </w:p>
    <w:p w14:paraId="563FCDE9" w14:textId="20F2C89E"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36" w:history="1">
        <w:r w:rsidR="0044159E" w:rsidRPr="004309DD">
          <w:rPr>
            <w:rStyle w:val="Hyperlink"/>
          </w:rPr>
          <w:t>Targeted mandatory notification thresholds</w:t>
        </w:r>
        <w:r w:rsidR="0044159E">
          <w:rPr>
            <w:webHidden/>
          </w:rPr>
          <w:tab/>
        </w:r>
        <w:r w:rsidR="0044159E">
          <w:rPr>
            <w:webHidden/>
          </w:rPr>
          <w:fldChar w:fldCharType="begin"/>
        </w:r>
        <w:r w:rsidR="0044159E">
          <w:rPr>
            <w:webHidden/>
          </w:rPr>
          <w:instrText xml:space="preserve"> PAGEREF _Toc176443936 \h </w:instrText>
        </w:r>
        <w:r w:rsidR="0044159E">
          <w:rPr>
            <w:webHidden/>
          </w:rPr>
        </w:r>
        <w:r w:rsidR="0044159E">
          <w:rPr>
            <w:webHidden/>
          </w:rPr>
          <w:fldChar w:fldCharType="separate"/>
        </w:r>
        <w:r w:rsidR="00364D65">
          <w:rPr>
            <w:webHidden/>
          </w:rPr>
          <w:t>7</w:t>
        </w:r>
        <w:r w:rsidR="0044159E">
          <w:rPr>
            <w:webHidden/>
          </w:rPr>
          <w:fldChar w:fldCharType="end"/>
        </w:r>
      </w:hyperlink>
    </w:p>
    <w:p w14:paraId="68CB4845" w14:textId="327924B6"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37" w:history="1">
        <w:r w:rsidR="0044159E" w:rsidRPr="004309DD">
          <w:rPr>
            <w:rStyle w:val="Hyperlink"/>
          </w:rPr>
          <w:t>A risk-based approach to designing notification thresholds</w:t>
        </w:r>
        <w:r w:rsidR="0044159E">
          <w:rPr>
            <w:webHidden/>
          </w:rPr>
          <w:tab/>
        </w:r>
        <w:r w:rsidR="0044159E">
          <w:rPr>
            <w:webHidden/>
          </w:rPr>
          <w:fldChar w:fldCharType="begin"/>
        </w:r>
        <w:r w:rsidR="0044159E">
          <w:rPr>
            <w:webHidden/>
          </w:rPr>
          <w:instrText xml:space="preserve"> PAGEREF _Toc176443937 \h </w:instrText>
        </w:r>
        <w:r w:rsidR="0044159E">
          <w:rPr>
            <w:webHidden/>
          </w:rPr>
        </w:r>
        <w:r w:rsidR="0044159E">
          <w:rPr>
            <w:webHidden/>
          </w:rPr>
          <w:fldChar w:fldCharType="separate"/>
        </w:r>
        <w:r w:rsidR="00364D65">
          <w:rPr>
            <w:webHidden/>
          </w:rPr>
          <w:t>9</w:t>
        </w:r>
        <w:r w:rsidR="0044159E">
          <w:rPr>
            <w:webHidden/>
          </w:rPr>
          <w:fldChar w:fldCharType="end"/>
        </w:r>
      </w:hyperlink>
    </w:p>
    <w:p w14:paraId="59A07D18" w14:textId="587AC1E9"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38" w:history="1">
        <w:r w:rsidR="0044159E" w:rsidRPr="004309DD">
          <w:rPr>
            <w:rStyle w:val="Hyperlink"/>
          </w:rPr>
          <w:t>The thresholds should be underpinned by clear objectives</w:t>
        </w:r>
        <w:r w:rsidR="0044159E">
          <w:rPr>
            <w:webHidden/>
          </w:rPr>
          <w:tab/>
        </w:r>
        <w:r w:rsidR="0044159E">
          <w:rPr>
            <w:webHidden/>
          </w:rPr>
          <w:fldChar w:fldCharType="begin"/>
        </w:r>
        <w:r w:rsidR="0044159E">
          <w:rPr>
            <w:webHidden/>
          </w:rPr>
          <w:instrText xml:space="preserve"> PAGEREF _Toc176443938 \h </w:instrText>
        </w:r>
        <w:r w:rsidR="0044159E">
          <w:rPr>
            <w:webHidden/>
          </w:rPr>
        </w:r>
        <w:r w:rsidR="0044159E">
          <w:rPr>
            <w:webHidden/>
          </w:rPr>
          <w:fldChar w:fldCharType="separate"/>
        </w:r>
        <w:r w:rsidR="00364D65">
          <w:rPr>
            <w:webHidden/>
          </w:rPr>
          <w:t>9</w:t>
        </w:r>
        <w:r w:rsidR="0044159E">
          <w:rPr>
            <w:webHidden/>
          </w:rPr>
          <w:fldChar w:fldCharType="end"/>
        </w:r>
      </w:hyperlink>
    </w:p>
    <w:p w14:paraId="7CEBEF7C" w14:textId="2B395AAB"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39" w:history="1">
        <w:r w:rsidR="0044159E" w:rsidRPr="004309DD">
          <w:rPr>
            <w:rStyle w:val="Hyperlink"/>
          </w:rPr>
          <w:t>Projected number of notified acquisitions</w:t>
        </w:r>
        <w:r w:rsidR="0044159E">
          <w:rPr>
            <w:webHidden/>
          </w:rPr>
          <w:tab/>
        </w:r>
        <w:r w:rsidR="0044159E">
          <w:rPr>
            <w:webHidden/>
          </w:rPr>
          <w:fldChar w:fldCharType="begin"/>
        </w:r>
        <w:r w:rsidR="0044159E">
          <w:rPr>
            <w:webHidden/>
          </w:rPr>
          <w:instrText xml:space="preserve"> PAGEREF _Toc176443939 \h </w:instrText>
        </w:r>
        <w:r w:rsidR="0044159E">
          <w:rPr>
            <w:webHidden/>
          </w:rPr>
        </w:r>
        <w:r w:rsidR="0044159E">
          <w:rPr>
            <w:webHidden/>
          </w:rPr>
          <w:fldChar w:fldCharType="separate"/>
        </w:r>
        <w:r w:rsidR="00364D65">
          <w:rPr>
            <w:webHidden/>
          </w:rPr>
          <w:t>11</w:t>
        </w:r>
        <w:r w:rsidR="0044159E">
          <w:rPr>
            <w:webHidden/>
          </w:rPr>
          <w:fldChar w:fldCharType="end"/>
        </w:r>
      </w:hyperlink>
    </w:p>
    <w:p w14:paraId="024F6C39" w14:textId="188D7138"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40" w:history="1">
        <w:r w:rsidR="0044159E" w:rsidRPr="004309DD">
          <w:rPr>
            <w:rStyle w:val="Hyperlink"/>
          </w:rPr>
          <w:t>Monetary</w:t>
        </w:r>
        <w:r w:rsidR="0044159E">
          <w:rPr>
            <w:webHidden/>
          </w:rPr>
          <w:tab/>
        </w:r>
        <w:r w:rsidR="0044159E">
          <w:rPr>
            <w:webHidden/>
          </w:rPr>
          <w:fldChar w:fldCharType="begin"/>
        </w:r>
        <w:r w:rsidR="0044159E">
          <w:rPr>
            <w:webHidden/>
          </w:rPr>
          <w:instrText xml:space="preserve"> PAGEREF _Toc176443940 \h </w:instrText>
        </w:r>
        <w:r w:rsidR="0044159E">
          <w:rPr>
            <w:webHidden/>
          </w:rPr>
        </w:r>
        <w:r w:rsidR="0044159E">
          <w:rPr>
            <w:webHidden/>
          </w:rPr>
          <w:fldChar w:fldCharType="separate"/>
        </w:r>
        <w:r w:rsidR="00364D65">
          <w:rPr>
            <w:webHidden/>
          </w:rPr>
          <w:t>12</w:t>
        </w:r>
        <w:r w:rsidR="0044159E">
          <w:rPr>
            <w:webHidden/>
          </w:rPr>
          <w:fldChar w:fldCharType="end"/>
        </w:r>
      </w:hyperlink>
    </w:p>
    <w:p w14:paraId="3BF78A11" w14:textId="16EB1041"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41" w:history="1">
        <w:r w:rsidR="0044159E" w:rsidRPr="004309DD">
          <w:rPr>
            <w:rStyle w:val="Hyperlink"/>
          </w:rPr>
          <w:t>Monetary thresholds are consistent with international practice</w:t>
        </w:r>
        <w:r w:rsidR="0044159E">
          <w:rPr>
            <w:webHidden/>
          </w:rPr>
          <w:tab/>
        </w:r>
        <w:r w:rsidR="0044159E">
          <w:rPr>
            <w:webHidden/>
          </w:rPr>
          <w:fldChar w:fldCharType="begin"/>
        </w:r>
        <w:r w:rsidR="0044159E">
          <w:rPr>
            <w:webHidden/>
          </w:rPr>
          <w:instrText xml:space="preserve"> PAGEREF _Toc176443941 \h </w:instrText>
        </w:r>
        <w:r w:rsidR="0044159E">
          <w:rPr>
            <w:webHidden/>
          </w:rPr>
        </w:r>
        <w:r w:rsidR="0044159E">
          <w:rPr>
            <w:webHidden/>
          </w:rPr>
          <w:fldChar w:fldCharType="separate"/>
        </w:r>
        <w:r w:rsidR="00364D65">
          <w:rPr>
            <w:webHidden/>
          </w:rPr>
          <w:t>12</w:t>
        </w:r>
        <w:r w:rsidR="0044159E">
          <w:rPr>
            <w:webHidden/>
          </w:rPr>
          <w:fldChar w:fldCharType="end"/>
        </w:r>
      </w:hyperlink>
    </w:p>
    <w:p w14:paraId="22789355" w14:textId="43D23932"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42" w:history="1">
        <w:r w:rsidR="0044159E" w:rsidRPr="004309DD">
          <w:rPr>
            <w:rStyle w:val="Hyperlink"/>
          </w:rPr>
          <w:t>Structure of monetary thresholds</w:t>
        </w:r>
        <w:r w:rsidR="0044159E">
          <w:rPr>
            <w:webHidden/>
          </w:rPr>
          <w:tab/>
        </w:r>
        <w:r w:rsidR="0044159E">
          <w:rPr>
            <w:webHidden/>
          </w:rPr>
          <w:fldChar w:fldCharType="begin"/>
        </w:r>
        <w:r w:rsidR="0044159E">
          <w:rPr>
            <w:webHidden/>
          </w:rPr>
          <w:instrText xml:space="preserve"> PAGEREF _Toc176443942 \h </w:instrText>
        </w:r>
        <w:r w:rsidR="0044159E">
          <w:rPr>
            <w:webHidden/>
          </w:rPr>
        </w:r>
        <w:r w:rsidR="0044159E">
          <w:rPr>
            <w:webHidden/>
          </w:rPr>
          <w:fldChar w:fldCharType="separate"/>
        </w:r>
        <w:r w:rsidR="00364D65">
          <w:rPr>
            <w:webHidden/>
          </w:rPr>
          <w:t>12</w:t>
        </w:r>
        <w:r w:rsidR="0044159E">
          <w:rPr>
            <w:webHidden/>
          </w:rPr>
          <w:fldChar w:fldCharType="end"/>
        </w:r>
      </w:hyperlink>
    </w:p>
    <w:p w14:paraId="06B8F69B" w14:textId="7114F780"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43" w:history="1">
        <w:r w:rsidR="0044159E" w:rsidRPr="004309DD">
          <w:rPr>
            <w:rStyle w:val="Hyperlink"/>
          </w:rPr>
          <w:t>Analysis of economic data to determine monetary thresholds</w:t>
        </w:r>
        <w:r w:rsidR="0044159E">
          <w:rPr>
            <w:webHidden/>
          </w:rPr>
          <w:tab/>
        </w:r>
        <w:r w:rsidR="0044159E">
          <w:rPr>
            <w:webHidden/>
          </w:rPr>
          <w:fldChar w:fldCharType="begin"/>
        </w:r>
        <w:r w:rsidR="0044159E">
          <w:rPr>
            <w:webHidden/>
          </w:rPr>
          <w:instrText xml:space="preserve"> PAGEREF _Toc176443943 \h </w:instrText>
        </w:r>
        <w:r w:rsidR="0044159E">
          <w:rPr>
            <w:webHidden/>
          </w:rPr>
        </w:r>
        <w:r w:rsidR="0044159E">
          <w:rPr>
            <w:webHidden/>
          </w:rPr>
          <w:fldChar w:fldCharType="separate"/>
        </w:r>
        <w:r w:rsidR="00364D65">
          <w:rPr>
            <w:webHidden/>
          </w:rPr>
          <w:t>14</w:t>
        </w:r>
        <w:r w:rsidR="0044159E">
          <w:rPr>
            <w:webHidden/>
          </w:rPr>
          <w:fldChar w:fldCharType="end"/>
        </w:r>
      </w:hyperlink>
    </w:p>
    <w:p w14:paraId="00D939CE" w14:textId="45CE9A8E" w:rsidR="0044159E" w:rsidRDefault="00A549E8">
      <w:pPr>
        <w:pStyle w:val="TOC3"/>
        <w:rPr>
          <w:rFonts w:asciiTheme="minorHAnsi" w:eastAsiaTheme="minorEastAsia" w:hAnsiTheme="minorHAnsi" w:cstheme="minorBidi"/>
          <w:kern w:val="2"/>
          <w:sz w:val="24"/>
          <w:szCs w:val="24"/>
          <w14:ligatures w14:val="standardContextual"/>
        </w:rPr>
      </w:pPr>
      <w:hyperlink w:anchor="_Toc176443944" w:history="1">
        <w:r w:rsidR="0044159E" w:rsidRPr="004309DD">
          <w:rPr>
            <w:rStyle w:val="Hyperlink"/>
            <w:bCs/>
          </w:rPr>
          <w:t>International comparisons</w:t>
        </w:r>
        <w:r w:rsidR="0044159E">
          <w:rPr>
            <w:webHidden/>
          </w:rPr>
          <w:tab/>
        </w:r>
        <w:r w:rsidR="0044159E">
          <w:rPr>
            <w:webHidden/>
          </w:rPr>
          <w:fldChar w:fldCharType="begin"/>
        </w:r>
        <w:r w:rsidR="0044159E">
          <w:rPr>
            <w:webHidden/>
          </w:rPr>
          <w:instrText xml:space="preserve"> PAGEREF _Toc176443944 \h </w:instrText>
        </w:r>
        <w:r w:rsidR="0044159E">
          <w:rPr>
            <w:webHidden/>
          </w:rPr>
        </w:r>
        <w:r w:rsidR="0044159E">
          <w:rPr>
            <w:webHidden/>
          </w:rPr>
          <w:fldChar w:fldCharType="separate"/>
        </w:r>
        <w:r w:rsidR="00364D65">
          <w:rPr>
            <w:webHidden/>
          </w:rPr>
          <w:t>14</w:t>
        </w:r>
        <w:r w:rsidR="0044159E">
          <w:rPr>
            <w:webHidden/>
          </w:rPr>
          <w:fldChar w:fldCharType="end"/>
        </w:r>
      </w:hyperlink>
    </w:p>
    <w:p w14:paraId="288B4EBB" w14:textId="46A51380" w:rsidR="0044159E" w:rsidRDefault="00A549E8">
      <w:pPr>
        <w:pStyle w:val="TOC3"/>
        <w:rPr>
          <w:rFonts w:asciiTheme="minorHAnsi" w:eastAsiaTheme="minorEastAsia" w:hAnsiTheme="minorHAnsi" w:cstheme="minorBidi"/>
          <w:kern w:val="2"/>
          <w:sz w:val="24"/>
          <w:szCs w:val="24"/>
          <w14:ligatures w14:val="standardContextual"/>
        </w:rPr>
      </w:pPr>
      <w:hyperlink w:anchor="_Toc176443945" w:history="1">
        <w:r w:rsidR="0044159E" w:rsidRPr="004309DD">
          <w:rPr>
            <w:rStyle w:val="Hyperlink"/>
            <w:bCs/>
          </w:rPr>
          <w:t>Treasury’s approach to designing the monetary thresholds</w:t>
        </w:r>
        <w:r w:rsidR="0044159E">
          <w:rPr>
            <w:webHidden/>
          </w:rPr>
          <w:tab/>
        </w:r>
        <w:r w:rsidR="0044159E">
          <w:rPr>
            <w:webHidden/>
          </w:rPr>
          <w:fldChar w:fldCharType="begin"/>
        </w:r>
        <w:r w:rsidR="0044159E">
          <w:rPr>
            <w:webHidden/>
          </w:rPr>
          <w:instrText xml:space="preserve"> PAGEREF _Toc176443945 \h </w:instrText>
        </w:r>
        <w:r w:rsidR="0044159E">
          <w:rPr>
            <w:webHidden/>
          </w:rPr>
        </w:r>
        <w:r w:rsidR="0044159E">
          <w:rPr>
            <w:webHidden/>
          </w:rPr>
          <w:fldChar w:fldCharType="separate"/>
        </w:r>
        <w:r w:rsidR="00364D65">
          <w:rPr>
            <w:webHidden/>
          </w:rPr>
          <w:t>16</w:t>
        </w:r>
        <w:r w:rsidR="0044159E">
          <w:rPr>
            <w:webHidden/>
          </w:rPr>
          <w:fldChar w:fldCharType="end"/>
        </w:r>
      </w:hyperlink>
    </w:p>
    <w:p w14:paraId="03582CF0" w14:textId="39229EB4"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46" w:history="1">
        <w:r w:rsidR="0044159E" w:rsidRPr="004309DD">
          <w:rPr>
            <w:rStyle w:val="Hyperlink"/>
          </w:rPr>
          <w:t>Monetary thresholds for consultation</w:t>
        </w:r>
        <w:r w:rsidR="0044159E">
          <w:rPr>
            <w:webHidden/>
          </w:rPr>
          <w:tab/>
        </w:r>
        <w:r w:rsidR="0044159E">
          <w:rPr>
            <w:webHidden/>
          </w:rPr>
          <w:fldChar w:fldCharType="begin"/>
        </w:r>
        <w:r w:rsidR="0044159E">
          <w:rPr>
            <w:webHidden/>
          </w:rPr>
          <w:instrText xml:space="preserve"> PAGEREF _Toc176443946 \h </w:instrText>
        </w:r>
        <w:r w:rsidR="0044159E">
          <w:rPr>
            <w:webHidden/>
          </w:rPr>
        </w:r>
        <w:r w:rsidR="0044159E">
          <w:rPr>
            <w:webHidden/>
          </w:rPr>
          <w:fldChar w:fldCharType="separate"/>
        </w:r>
        <w:r w:rsidR="00364D65">
          <w:rPr>
            <w:webHidden/>
          </w:rPr>
          <w:t>17</w:t>
        </w:r>
        <w:r w:rsidR="0044159E">
          <w:rPr>
            <w:webHidden/>
          </w:rPr>
          <w:fldChar w:fldCharType="end"/>
        </w:r>
      </w:hyperlink>
    </w:p>
    <w:p w14:paraId="68C0995C" w14:textId="2C94168D"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47" w:history="1">
        <w:r w:rsidR="0044159E" w:rsidRPr="004309DD">
          <w:rPr>
            <w:rStyle w:val="Hyperlink"/>
          </w:rPr>
          <w:t>Market concentration</w:t>
        </w:r>
        <w:r w:rsidR="0044159E">
          <w:rPr>
            <w:webHidden/>
          </w:rPr>
          <w:tab/>
        </w:r>
        <w:r w:rsidR="0044159E">
          <w:rPr>
            <w:webHidden/>
          </w:rPr>
          <w:fldChar w:fldCharType="begin"/>
        </w:r>
        <w:r w:rsidR="0044159E">
          <w:rPr>
            <w:webHidden/>
          </w:rPr>
          <w:instrText xml:space="preserve"> PAGEREF _Toc176443947 \h </w:instrText>
        </w:r>
        <w:r w:rsidR="0044159E">
          <w:rPr>
            <w:webHidden/>
          </w:rPr>
        </w:r>
        <w:r w:rsidR="0044159E">
          <w:rPr>
            <w:webHidden/>
          </w:rPr>
          <w:fldChar w:fldCharType="separate"/>
        </w:r>
        <w:r w:rsidR="00364D65">
          <w:rPr>
            <w:webHidden/>
          </w:rPr>
          <w:t>20</w:t>
        </w:r>
        <w:r w:rsidR="0044159E">
          <w:rPr>
            <w:webHidden/>
          </w:rPr>
          <w:fldChar w:fldCharType="end"/>
        </w:r>
      </w:hyperlink>
    </w:p>
    <w:p w14:paraId="3FC86063" w14:textId="3C1949D1"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48" w:history="1">
        <w:r w:rsidR="0044159E" w:rsidRPr="004309DD">
          <w:rPr>
            <w:rStyle w:val="Hyperlink"/>
          </w:rPr>
          <w:t>Possible measures of market concentration</w:t>
        </w:r>
        <w:r w:rsidR="0044159E">
          <w:rPr>
            <w:webHidden/>
          </w:rPr>
          <w:tab/>
        </w:r>
        <w:r w:rsidR="0044159E">
          <w:rPr>
            <w:webHidden/>
          </w:rPr>
          <w:fldChar w:fldCharType="begin"/>
        </w:r>
        <w:r w:rsidR="0044159E">
          <w:rPr>
            <w:webHidden/>
          </w:rPr>
          <w:instrText xml:space="preserve"> PAGEREF _Toc176443948 \h </w:instrText>
        </w:r>
        <w:r w:rsidR="0044159E">
          <w:rPr>
            <w:webHidden/>
          </w:rPr>
        </w:r>
        <w:r w:rsidR="0044159E">
          <w:rPr>
            <w:webHidden/>
          </w:rPr>
          <w:fldChar w:fldCharType="separate"/>
        </w:r>
        <w:r w:rsidR="00364D65">
          <w:rPr>
            <w:webHidden/>
          </w:rPr>
          <w:t>20</w:t>
        </w:r>
        <w:r w:rsidR="0044159E">
          <w:rPr>
            <w:webHidden/>
          </w:rPr>
          <w:fldChar w:fldCharType="end"/>
        </w:r>
      </w:hyperlink>
    </w:p>
    <w:p w14:paraId="05267ECD" w14:textId="59854A51" w:rsidR="0044159E" w:rsidRDefault="00A549E8">
      <w:pPr>
        <w:pStyle w:val="TOC3"/>
        <w:rPr>
          <w:rFonts w:asciiTheme="minorHAnsi" w:eastAsiaTheme="minorEastAsia" w:hAnsiTheme="minorHAnsi" w:cstheme="minorBidi"/>
          <w:kern w:val="2"/>
          <w:sz w:val="24"/>
          <w:szCs w:val="24"/>
          <w14:ligatures w14:val="standardContextual"/>
        </w:rPr>
      </w:pPr>
      <w:hyperlink w:anchor="_Toc176443949" w:history="1">
        <w:r w:rsidR="0044159E" w:rsidRPr="004309DD">
          <w:rPr>
            <w:rStyle w:val="Hyperlink"/>
          </w:rPr>
          <w:t>Market share</w:t>
        </w:r>
        <w:r w:rsidR="0044159E">
          <w:rPr>
            <w:webHidden/>
          </w:rPr>
          <w:tab/>
        </w:r>
        <w:r w:rsidR="0044159E">
          <w:rPr>
            <w:webHidden/>
          </w:rPr>
          <w:fldChar w:fldCharType="begin"/>
        </w:r>
        <w:r w:rsidR="0044159E">
          <w:rPr>
            <w:webHidden/>
          </w:rPr>
          <w:instrText xml:space="preserve"> PAGEREF _Toc176443949 \h </w:instrText>
        </w:r>
        <w:r w:rsidR="0044159E">
          <w:rPr>
            <w:webHidden/>
          </w:rPr>
        </w:r>
        <w:r w:rsidR="0044159E">
          <w:rPr>
            <w:webHidden/>
          </w:rPr>
          <w:fldChar w:fldCharType="separate"/>
        </w:r>
        <w:r w:rsidR="00364D65">
          <w:rPr>
            <w:webHidden/>
          </w:rPr>
          <w:t>21</w:t>
        </w:r>
        <w:r w:rsidR="0044159E">
          <w:rPr>
            <w:webHidden/>
          </w:rPr>
          <w:fldChar w:fldCharType="end"/>
        </w:r>
      </w:hyperlink>
    </w:p>
    <w:p w14:paraId="30DB20DE" w14:textId="0F07F0A1" w:rsidR="0044159E" w:rsidRDefault="00A549E8">
      <w:pPr>
        <w:pStyle w:val="TOC3"/>
        <w:rPr>
          <w:rFonts w:asciiTheme="minorHAnsi" w:eastAsiaTheme="minorEastAsia" w:hAnsiTheme="minorHAnsi" w:cstheme="minorBidi"/>
          <w:kern w:val="2"/>
          <w:sz w:val="24"/>
          <w:szCs w:val="24"/>
          <w14:ligatures w14:val="standardContextual"/>
        </w:rPr>
      </w:pPr>
      <w:hyperlink w:anchor="_Toc176443950" w:history="1">
        <w:r w:rsidR="0044159E" w:rsidRPr="004309DD">
          <w:rPr>
            <w:rStyle w:val="Hyperlink"/>
          </w:rPr>
          <w:t>Share of supply</w:t>
        </w:r>
        <w:r w:rsidR="0044159E">
          <w:rPr>
            <w:webHidden/>
          </w:rPr>
          <w:tab/>
        </w:r>
        <w:r w:rsidR="0044159E">
          <w:rPr>
            <w:webHidden/>
          </w:rPr>
          <w:fldChar w:fldCharType="begin"/>
        </w:r>
        <w:r w:rsidR="0044159E">
          <w:rPr>
            <w:webHidden/>
          </w:rPr>
          <w:instrText xml:space="preserve"> PAGEREF _Toc176443950 \h </w:instrText>
        </w:r>
        <w:r w:rsidR="0044159E">
          <w:rPr>
            <w:webHidden/>
          </w:rPr>
        </w:r>
        <w:r w:rsidR="0044159E">
          <w:rPr>
            <w:webHidden/>
          </w:rPr>
          <w:fldChar w:fldCharType="separate"/>
        </w:r>
        <w:r w:rsidR="00364D65">
          <w:rPr>
            <w:webHidden/>
          </w:rPr>
          <w:t>22</w:t>
        </w:r>
        <w:r w:rsidR="0044159E">
          <w:rPr>
            <w:webHidden/>
          </w:rPr>
          <w:fldChar w:fldCharType="end"/>
        </w:r>
      </w:hyperlink>
    </w:p>
    <w:p w14:paraId="6188A66F" w14:textId="2A3B764A" w:rsidR="0044159E" w:rsidRDefault="00A549E8">
      <w:pPr>
        <w:pStyle w:val="TOC3"/>
        <w:rPr>
          <w:rFonts w:asciiTheme="minorHAnsi" w:eastAsiaTheme="minorEastAsia" w:hAnsiTheme="minorHAnsi" w:cstheme="minorBidi"/>
          <w:kern w:val="2"/>
          <w:sz w:val="24"/>
          <w:szCs w:val="24"/>
          <w14:ligatures w14:val="standardContextual"/>
        </w:rPr>
      </w:pPr>
      <w:hyperlink w:anchor="_Toc176443951" w:history="1">
        <w:r w:rsidR="0044159E" w:rsidRPr="004309DD">
          <w:rPr>
            <w:rStyle w:val="Hyperlink"/>
          </w:rPr>
          <w:t>Market concentration administrative approach</w:t>
        </w:r>
        <w:r w:rsidR="0044159E">
          <w:rPr>
            <w:webHidden/>
          </w:rPr>
          <w:tab/>
        </w:r>
        <w:r w:rsidR="0044159E">
          <w:rPr>
            <w:webHidden/>
          </w:rPr>
          <w:fldChar w:fldCharType="begin"/>
        </w:r>
        <w:r w:rsidR="0044159E">
          <w:rPr>
            <w:webHidden/>
          </w:rPr>
          <w:instrText xml:space="preserve"> PAGEREF _Toc176443951 \h </w:instrText>
        </w:r>
        <w:r w:rsidR="0044159E">
          <w:rPr>
            <w:webHidden/>
          </w:rPr>
        </w:r>
        <w:r w:rsidR="0044159E">
          <w:rPr>
            <w:webHidden/>
          </w:rPr>
          <w:fldChar w:fldCharType="separate"/>
        </w:r>
        <w:r w:rsidR="00364D65">
          <w:rPr>
            <w:webHidden/>
          </w:rPr>
          <w:t>22</w:t>
        </w:r>
        <w:r w:rsidR="0044159E">
          <w:rPr>
            <w:webHidden/>
          </w:rPr>
          <w:fldChar w:fldCharType="end"/>
        </w:r>
      </w:hyperlink>
    </w:p>
    <w:p w14:paraId="5265DC98" w14:textId="1717DA1A"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52" w:history="1">
        <w:r w:rsidR="0044159E" w:rsidRPr="004309DD">
          <w:rPr>
            <w:rStyle w:val="Hyperlink"/>
          </w:rPr>
          <w:t>What level should the market concentration thresholds be?</w:t>
        </w:r>
        <w:r w:rsidR="0044159E">
          <w:rPr>
            <w:webHidden/>
          </w:rPr>
          <w:tab/>
        </w:r>
        <w:r w:rsidR="0044159E">
          <w:rPr>
            <w:webHidden/>
          </w:rPr>
          <w:fldChar w:fldCharType="begin"/>
        </w:r>
        <w:r w:rsidR="0044159E">
          <w:rPr>
            <w:webHidden/>
          </w:rPr>
          <w:instrText xml:space="preserve"> PAGEREF _Toc176443952 \h </w:instrText>
        </w:r>
        <w:r w:rsidR="0044159E">
          <w:rPr>
            <w:webHidden/>
          </w:rPr>
        </w:r>
        <w:r w:rsidR="0044159E">
          <w:rPr>
            <w:webHidden/>
          </w:rPr>
          <w:fldChar w:fldCharType="separate"/>
        </w:r>
        <w:r w:rsidR="00364D65">
          <w:rPr>
            <w:webHidden/>
          </w:rPr>
          <w:t>22</w:t>
        </w:r>
        <w:r w:rsidR="0044159E">
          <w:rPr>
            <w:webHidden/>
          </w:rPr>
          <w:fldChar w:fldCharType="end"/>
        </w:r>
      </w:hyperlink>
    </w:p>
    <w:p w14:paraId="28CC9F1E" w14:textId="4A14B5AC"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53" w:history="1">
        <w:r w:rsidR="0044159E" w:rsidRPr="004309DD">
          <w:rPr>
            <w:rStyle w:val="Hyperlink"/>
          </w:rPr>
          <w:t>Additional targeted notification requirements</w:t>
        </w:r>
        <w:r w:rsidR="0044159E">
          <w:rPr>
            <w:webHidden/>
          </w:rPr>
          <w:tab/>
        </w:r>
        <w:r w:rsidR="0044159E">
          <w:rPr>
            <w:webHidden/>
          </w:rPr>
          <w:fldChar w:fldCharType="begin"/>
        </w:r>
        <w:r w:rsidR="0044159E">
          <w:rPr>
            <w:webHidden/>
          </w:rPr>
          <w:instrText xml:space="preserve"> PAGEREF _Toc176443953 \h </w:instrText>
        </w:r>
        <w:r w:rsidR="0044159E">
          <w:rPr>
            <w:webHidden/>
          </w:rPr>
        </w:r>
        <w:r w:rsidR="0044159E">
          <w:rPr>
            <w:webHidden/>
          </w:rPr>
          <w:fldChar w:fldCharType="separate"/>
        </w:r>
        <w:r w:rsidR="00364D65">
          <w:rPr>
            <w:webHidden/>
          </w:rPr>
          <w:t>25</w:t>
        </w:r>
        <w:r w:rsidR="0044159E">
          <w:rPr>
            <w:webHidden/>
          </w:rPr>
          <w:fldChar w:fldCharType="end"/>
        </w:r>
      </w:hyperlink>
    </w:p>
    <w:p w14:paraId="4D010AF4" w14:textId="35D53B85"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54" w:history="1">
        <w:r w:rsidR="0044159E" w:rsidRPr="004309DD">
          <w:rPr>
            <w:rStyle w:val="Hyperlink"/>
          </w:rPr>
          <w:t>Scrutiny may be warranted in certain areas</w:t>
        </w:r>
        <w:r w:rsidR="0044159E">
          <w:rPr>
            <w:webHidden/>
          </w:rPr>
          <w:tab/>
        </w:r>
        <w:r w:rsidR="0044159E">
          <w:rPr>
            <w:webHidden/>
          </w:rPr>
          <w:fldChar w:fldCharType="begin"/>
        </w:r>
        <w:r w:rsidR="0044159E">
          <w:rPr>
            <w:webHidden/>
          </w:rPr>
          <w:instrText xml:space="preserve"> PAGEREF _Toc176443954 \h </w:instrText>
        </w:r>
        <w:r w:rsidR="0044159E">
          <w:rPr>
            <w:webHidden/>
          </w:rPr>
        </w:r>
        <w:r w:rsidR="0044159E">
          <w:rPr>
            <w:webHidden/>
          </w:rPr>
          <w:fldChar w:fldCharType="separate"/>
        </w:r>
        <w:r w:rsidR="00364D65">
          <w:rPr>
            <w:webHidden/>
          </w:rPr>
          <w:t>25</w:t>
        </w:r>
        <w:r w:rsidR="0044159E">
          <w:rPr>
            <w:webHidden/>
          </w:rPr>
          <w:fldChar w:fldCharType="end"/>
        </w:r>
      </w:hyperlink>
    </w:p>
    <w:p w14:paraId="3C0E104D" w14:textId="07B48195"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55" w:history="1">
        <w:r w:rsidR="0044159E" w:rsidRPr="004309DD">
          <w:rPr>
            <w:rStyle w:val="Hyperlink"/>
          </w:rPr>
          <w:t>Ministerial thresholds will be based on evidence</w:t>
        </w:r>
        <w:r w:rsidR="0044159E">
          <w:rPr>
            <w:webHidden/>
          </w:rPr>
          <w:tab/>
        </w:r>
        <w:r w:rsidR="0044159E">
          <w:rPr>
            <w:webHidden/>
          </w:rPr>
          <w:fldChar w:fldCharType="begin"/>
        </w:r>
        <w:r w:rsidR="0044159E">
          <w:rPr>
            <w:webHidden/>
          </w:rPr>
          <w:instrText xml:space="preserve"> PAGEREF _Toc176443955 \h </w:instrText>
        </w:r>
        <w:r w:rsidR="0044159E">
          <w:rPr>
            <w:webHidden/>
          </w:rPr>
        </w:r>
        <w:r w:rsidR="0044159E">
          <w:rPr>
            <w:webHidden/>
          </w:rPr>
          <w:fldChar w:fldCharType="separate"/>
        </w:r>
        <w:r w:rsidR="00364D65">
          <w:rPr>
            <w:webHidden/>
          </w:rPr>
          <w:t>25</w:t>
        </w:r>
        <w:r w:rsidR="0044159E">
          <w:rPr>
            <w:webHidden/>
          </w:rPr>
          <w:fldChar w:fldCharType="end"/>
        </w:r>
      </w:hyperlink>
    </w:p>
    <w:p w14:paraId="029435C4" w14:textId="36685C4E"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56" w:history="1">
        <w:r w:rsidR="0044159E" w:rsidRPr="004309DD">
          <w:rPr>
            <w:rStyle w:val="Hyperlink"/>
          </w:rPr>
          <w:t>ACCC’s role as an administrative steward of the new system</w:t>
        </w:r>
        <w:r w:rsidR="0044159E">
          <w:rPr>
            <w:webHidden/>
          </w:rPr>
          <w:tab/>
        </w:r>
        <w:r w:rsidR="0044159E">
          <w:rPr>
            <w:webHidden/>
          </w:rPr>
          <w:fldChar w:fldCharType="begin"/>
        </w:r>
        <w:r w:rsidR="0044159E">
          <w:rPr>
            <w:webHidden/>
          </w:rPr>
          <w:instrText xml:space="preserve"> PAGEREF _Toc176443956 \h </w:instrText>
        </w:r>
        <w:r w:rsidR="0044159E">
          <w:rPr>
            <w:webHidden/>
          </w:rPr>
        </w:r>
        <w:r w:rsidR="0044159E">
          <w:rPr>
            <w:webHidden/>
          </w:rPr>
          <w:fldChar w:fldCharType="separate"/>
        </w:r>
        <w:r w:rsidR="00364D65">
          <w:rPr>
            <w:webHidden/>
          </w:rPr>
          <w:t>27</w:t>
        </w:r>
        <w:r w:rsidR="0044159E">
          <w:rPr>
            <w:webHidden/>
          </w:rPr>
          <w:fldChar w:fldCharType="end"/>
        </w:r>
      </w:hyperlink>
    </w:p>
    <w:p w14:paraId="0ADF40E0" w14:textId="7C8A2E38"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57" w:history="1">
        <w:r w:rsidR="0044159E" w:rsidRPr="004309DD">
          <w:rPr>
            <w:rStyle w:val="Hyperlink"/>
          </w:rPr>
          <w:t>Application of the thresholds will be supported by guidance</w:t>
        </w:r>
        <w:r w:rsidR="0044159E">
          <w:rPr>
            <w:webHidden/>
          </w:rPr>
          <w:tab/>
        </w:r>
        <w:r w:rsidR="0044159E">
          <w:rPr>
            <w:webHidden/>
          </w:rPr>
          <w:fldChar w:fldCharType="begin"/>
        </w:r>
        <w:r w:rsidR="0044159E">
          <w:rPr>
            <w:webHidden/>
          </w:rPr>
          <w:instrText xml:space="preserve"> PAGEREF _Toc176443957 \h </w:instrText>
        </w:r>
        <w:r w:rsidR="0044159E">
          <w:rPr>
            <w:webHidden/>
          </w:rPr>
        </w:r>
        <w:r w:rsidR="0044159E">
          <w:rPr>
            <w:webHidden/>
          </w:rPr>
          <w:fldChar w:fldCharType="separate"/>
        </w:r>
        <w:r w:rsidR="00364D65">
          <w:rPr>
            <w:webHidden/>
          </w:rPr>
          <w:t>27</w:t>
        </w:r>
        <w:r w:rsidR="0044159E">
          <w:rPr>
            <w:webHidden/>
          </w:rPr>
          <w:fldChar w:fldCharType="end"/>
        </w:r>
      </w:hyperlink>
    </w:p>
    <w:p w14:paraId="31C88C59" w14:textId="3BAF2FFE" w:rsidR="0044159E" w:rsidRDefault="00A549E8">
      <w:pPr>
        <w:pStyle w:val="TOC1"/>
        <w:rPr>
          <w:rFonts w:asciiTheme="minorHAnsi" w:eastAsiaTheme="minorEastAsia" w:hAnsiTheme="minorHAnsi" w:cstheme="minorBidi"/>
          <w:b w:val="0"/>
          <w:color w:val="auto"/>
          <w:kern w:val="2"/>
          <w:sz w:val="24"/>
          <w:szCs w:val="24"/>
          <w14:ligatures w14:val="standardContextual"/>
        </w:rPr>
      </w:pPr>
      <w:hyperlink w:anchor="_Toc176443958" w:history="1">
        <w:r w:rsidR="0044159E" w:rsidRPr="004309DD">
          <w:rPr>
            <w:rStyle w:val="Hyperlink"/>
          </w:rPr>
          <w:t>Attachment A – Methodology and data to estimate the number of acquisitions captured</w:t>
        </w:r>
        <w:r w:rsidR="0044159E">
          <w:rPr>
            <w:webHidden/>
          </w:rPr>
          <w:tab/>
        </w:r>
        <w:r w:rsidR="0044159E">
          <w:rPr>
            <w:webHidden/>
          </w:rPr>
          <w:fldChar w:fldCharType="begin"/>
        </w:r>
        <w:r w:rsidR="0044159E">
          <w:rPr>
            <w:webHidden/>
          </w:rPr>
          <w:instrText xml:space="preserve"> PAGEREF _Toc176443958 \h </w:instrText>
        </w:r>
        <w:r w:rsidR="0044159E">
          <w:rPr>
            <w:webHidden/>
          </w:rPr>
        </w:r>
        <w:r w:rsidR="0044159E">
          <w:rPr>
            <w:webHidden/>
          </w:rPr>
          <w:fldChar w:fldCharType="separate"/>
        </w:r>
        <w:r w:rsidR="00364D65">
          <w:rPr>
            <w:webHidden/>
          </w:rPr>
          <w:t>29</w:t>
        </w:r>
        <w:r w:rsidR="0044159E">
          <w:rPr>
            <w:webHidden/>
          </w:rPr>
          <w:fldChar w:fldCharType="end"/>
        </w:r>
      </w:hyperlink>
    </w:p>
    <w:p w14:paraId="75BCFAED" w14:textId="4B9CD4F6"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59" w:history="1">
        <w:r w:rsidR="0044159E" w:rsidRPr="004309DD">
          <w:rPr>
            <w:rStyle w:val="Hyperlink"/>
          </w:rPr>
          <w:t>Methodology</w:t>
        </w:r>
        <w:r w:rsidR="0044159E">
          <w:rPr>
            <w:webHidden/>
          </w:rPr>
          <w:tab/>
        </w:r>
        <w:r w:rsidR="0044159E">
          <w:rPr>
            <w:webHidden/>
          </w:rPr>
          <w:fldChar w:fldCharType="begin"/>
        </w:r>
        <w:r w:rsidR="0044159E">
          <w:rPr>
            <w:webHidden/>
          </w:rPr>
          <w:instrText xml:space="preserve"> PAGEREF _Toc176443959 \h </w:instrText>
        </w:r>
        <w:r w:rsidR="0044159E">
          <w:rPr>
            <w:webHidden/>
          </w:rPr>
        </w:r>
        <w:r w:rsidR="0044159E">
          <w:rPr>
            <w:webHidden/>
          </w:rPr>
          <w:fldChar w:fldCharType="separate"/>
        </w:r>
        <w:r w:rsidR="00364D65">
          <w:rPr>
            <w:webHidden/>
          </w:rPr>
          <w:t>29</w:t>
        </w:r>
        <w:r w:rsidR="0044159E">
          <w:rPr>
            <w:webHidden/>
          </w:rPr>
          <w:fldChar w:fldCharType="end"/>
        </w:r>
      </w:hyperlink>
    </w:p>
    <w:p w14:paraId="6DF3476D" w14:textId="301A103F" w:rsidR="0044159E" w:rsidRDefault="00A549E8">
      <w:pPr>
        <w:pStyle w:val="TOC2"/>
        <w:rPr>
          <w:rFonts w:asciiTheme="minorHAnsi" w:eastAsiaTheme="minorEastAsia" w:hAnsiTheme="minorHAnsi" w:cstheme="minorBidi"/>
          <w:color w:val="auto"/>
          <w:kern w:val="2"/>
          <w:sz w:val="24"/>
          <w:szCs w:val="24"/>
          <w14:ligatures w14:val="standardContextual"/>
        </w:rPr>
      </w:pPr>
      <w:hyperlink w:anchor="_Toc176443960" w:history="1">
        <w:r w:rsidR="0044159E" w:rsidRPr="004309DD">
          <w:rPr>
            <w:rStyle w:val="Hyperlink"/>
          </w:rPr>
          <w:t>Data sources</w:t>
        </w:r>
        <w:r w:rsidR="0044159E">
          <w:rPr>
            <w:webHidden/>
          </w:rPr>
          <w:tab/>
        </w:r>
        <w:r w:rsidR="0044159E">
          <w:rPr>
            <w:webHidden/>
          </w:rPr>
          <w:fldChar w:fldCharType="begin"/>
        </w:r>
        <w:r w:rsidR="0044159E">
          <w:rPr>
            <w:webHidden/>
          </w:rPr>
          <w:instrText xml:space="preserve"> PAGEREF _Toc176443960 \h </w:instrText>
        </w:r>
        <w:r w:rsidR="0044159E">
          <w:rPr>
            <w:webHidden/>
          </w:rPr>
        </w:r>
        <w:r w:rsidR="0044159E">
          <w:rPr>
            <w:webHidden/>
          </w:rPr>
          <w:fldChar w:fldCharType="separate"/>
        </w:r>
        <w:r w:rsidR="00364D65">
          <w:rPr>
            <w:webHidden/>
          </w:rPr>
          <w:t>30</w:t>
        </w:r>
        <w:r w:rsidR="0044159E">
          <w:rPr>
            <w:webHidden/>
          </w:rPr>
          <w:fldChar w:fldCharType="end"/>
        </w:r>
      </w:hyperlink>
    </w:p>
    <w:p w14:paraId="027D58C6" w14:textId="2908036E" w:rsidR="00156F0D" w:rsidRDefault="00156F0D" w:rsidP="00156F0D">
      <w:pPr>
        <w:pStyle w:val="SingleParagraph"/>
        <w:ind w:right="-2"/>
      </w:pPr>
      <w:r>
        <w:fldChar w:fldCharType="end"/>
      </w:r>
      <w:bookmarkStart w:id="2" w:name="_Toc432067103"/>
      <w:bookmarkStart w:id="3" w:name="_Toc452635030"/>
      <w:bookmarkEnd w:id="1"/>
    </w:p>
    <w:p w14:paraId="1DC3584F" w14:textId="77777777" w:rsidR="00156F0D" w:rsidRDefault="00156F0D" w:rsidP="00156F0D">
      <w:pPr>
        <w:pStyle w:val="SingleParagraph"/>
        <w:ind w:right="-2"/>
      </w:pPr>
    </w:p>
    <w:p w14:paraId="55A10338" w14:textId="77777777" w:rsidR="00156F0D" w:rsidRPr="00B775EE" w:rsidRDefault="00156F0D" w:rsidP="00156F0D">
      <w:pPr>
        <w:pStyle w:val="SingleParagraph"/>
        <w:ind w:right="-2"/>
        <w:rPr>
          <w:b/>
          <w:bCs/>
        </w:rPr>
        <w:sectPr w:rsidR="00156F0D" w:rsidRPr="00B775EE" w:rsidSect="00156F0D">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1418" w:left="1418" w:header="709" w:footer="709" w:gutter="0"/>
          <w:pgNumType w:fmt="lowerRoman" w:start="3"/>
          <w:cols w:space="708"/>
          <w:titlePg/>
          <w:docGrid w:linePitch="360"/>
        </w:sectPr>
      </w:pPr>
    </w:p>
    <w:p w14:paraId="0AAFFDBC" w14:textId="77777777" w:rsidR="00156F0D" w:rsidRDefault="00156F0D" w:rsidP="00156F0D">
      <w:pPr>
        <w:pStyle w:val="Heading1"/>
      </w:pPr>
      <w:bookmarkStart w:id="4" w:name="_Toc176443931"/>
      <w:bookmarkStart w:id="5" w:name="_Toc432067104"/>
      <w:bookmarkStart w:id="6" w:name="_Toc452635031"/>
      <w:bookmarkEnd w:id="2"/>
      <w:bookmarkEnd w:id="3"/>
      <w:r>
        <w:lastRenderedPageBreak/>
        <w:t>Consultation process</w:t>
      </w:r>
      <w:bookmarkEnd w:id="4"/>
    </w:p>
    <w:p w14:paraId="7196C05F" w14:textId="18D5DBBB" w:rsidR="00156F0D" w:rsidRDefault="00156F0D" w:rsidP="00156F0D">
      <w:pPr>
        <w:pStyle w:val="Heading2"/>
      </w:pPr>
      <w:bookmarkStart w:id="7" w:name="_Toc176443932"/>
      <w:r>
        <w:t>Request for feedback and comments</w:t>
      </w:r>
      <w:bookmarkEnd w:id="7"/>
    </w:p>
    <w:p w14:paraId="5708B093" w14:textId="4D2CCBA4" w:rsidR="00156F0D" w:rsidRDefault="00156F0D" w:rsidP="00156F0D">
      <w:r>
        <w:t>The Government is simplifying and strengthening Australia’s current approach to merger control from 1 January 2026.</w:t>
      </w:r>
      <w:r w:rsidRPr="0005317B">
        <w:rPr>
          <w:rStyle w:val="FootnoteReference"/>
          <w:vertAlign w:val="superscript"/>
        </w:rPr>
        <w:footnoteReference w:id="2"/>
      </w:r>
      <w:r w:rsidRPr="0005317B">
        <w:rPr>
          <w:vertAlign w:val="superscript"/>
        </w:rPr>
        <w:t xml:space="preserve"> </w:t>
      </w:r>
      <w:r>
        <w:t>As part of the new merger control system, Treasury is consulting on notification thresholds and will use feedback received to inform advice to the Government</w:t>
      </w:r>
      <w:r w:rsidR="00061355">
        <w:t>,</w:t>
      </w:r>
      <w:r>
        <w:t xml:space="preserve"> which will allow for subordinate legislation to be introduced to support the new merger system.</w:t>
      </w:r>
    </w:p>
    <w:p w14:paraId="21523307" w14:textId="77777777" w:rsidR="00156F0D" w:rsidRDefault="00156F0D" w:rsidP="00156F0D">
      <w:r>
        <w:t>Questions are included throughout the paper to guide comments. You are invited to answer some or all of the questions, or to comment on issues more broadly.</w:t>
      </w:r>
    </w:p>
    <w:p w14:paraId="697C5DB8" w14:textId="77777777" w:rsidR="00156F0D" w:rsidRDefault="00156F0D" w:rsidP="00156F0D">
      <w:r>
        <w:t>While submissions may be lodged electronically or by post, electronic lodgement is preferred. For accessibility reasons, please submit responses sent via email in a Word or RTF format. An additional PDF version may also be submitted.</w:t>
      </w:r>
    </w:p>
    <w:p w14:paraId="6324554D" w14:textId="77777777" w:rsidR="00156F0D" w:rsidRPr="00117FCC" w:rsidRDefault="00156F0D" w:rsidP="00156F0D">
      <w:pPr>
        <w:pStyle w:val="Heading3"/>
      </w:pPr>
      <w:bookmarkStart w:id="8" w:name="_Toc162972461"/>
      <w:bookmarkStart w:id="9" w:name="_Toc176443933"/>
      <w:r w:rsidRPr="00117FCC">
        <w:t>Publication of submissions and confidentiality</w:t>
      </w:r>
      <w:bookmarkEnd w:id="8"/>
      <w:bookmarkEnd w:id="9"/>
      <w:r w:rsidRPr="00117FCC">
        <w:t xml:space="preserve"> </w:t>
      </w:r>
    </w:p>
    <w:p w14:paraId="03E955AD" w14:textId="77777777" w:rsidR="00156F0D" w:rsidRPr="008017F2" w:rsidRDefault="00156F0D" w:rsidP="00156F0D">
      <w: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w:t>
      </w:r>
      <w:r w:rsidRPr="008017F2">
        <w:t>in emails do not suffice for this purpose. Respondents who would like part of their submission to remain confidential should provide this information marked as such in a separate attachment.</w:t>
      </w:r>
    </w:p>
    <w:p w14:paraId="29887423" w14:textId="77777777" w:rsidR="00156F0D" w:rsidRDefault="00156F0D" w:rsidP="00156F0D">
      <w:r w:rsidRPr="008017F2">
        <w:t xml:space="preserve">Legal requirements, such as those imposed by the </w:t>
      </w:r>
      <w:r w:rsidRPr="004B61C4">
        <w:rPr>
          <w:i/>
          <w:iCs/>
        </w:rPr>
        <w:t>Freedom of Information Act 1982</w:t>
      </w:r>
      <w:r w:rsidRPr="008017F2">
        <w:t xml:space="preserve">, may affect the confidentiality of your submission. </w:t>
      </w:r>
    </w:p>
    <w:p w14:paraId="48A93136" w14:textId="4B106C82" w:rsidR="00156F0D" w:rsidRPr="008017F2" w:rsidRDefault="00156F0D" w:rsidP="00156F0D">
      <w:r>
        <w:t>If you would like to share information and views that may be sensitive, you are welcome to indicate that you would like all or part of your submission to remain confidential. Treasury also welcomes the opportunity to discuss your views in a meeting.</w:t>
      </w:r>
    </w:p>
    <w:p w14:paraId="1998CCE0" w14:textId="37A08126" w:rsidR="00156F0D" w:rsidRPr="0032486E" w:rsidRDefault="00156F0D" w:rsidP="00156F0D">
      <w:pPr>
        <w:pStyle w:val="Heading3"/>
      </w:pPr>
      <w:bookmarkStart w:id="10" w:name="_Toc162363369"/>
      <w:bookmarkStart w:id="11" w:name="_Toc162972462"/>
      <w:bookmarkStart w:id="12" w:name="_Toc176443934"/>
      <w:r w:rsidRPr="0032486E">
        <w:t>Closing date for submissions</w:t>
      </w:r>
      <w:bookmarkEnd w:id="10"/>
      <w:bookmarkEnd w:id="11"/>
      <w:r w:rsidRPr="0032486E">
        <w:t xml:space="preserve">: </w:t>
      </w:r>
      <w:sdt>
        <w:sdtPr>
          <w:rPr>
            <w:rStyle w:val="Heading3Char"/>
            <w:b/>
          </w:rPr>
          <w:id w:val="1454836312"/>
          <w:placeholder>
            <w:docPart w:val="D9DB02A2695C46449A787294225D8500"/>
          </w:placeholder>
          <w:date w:fullDate="2024-09-20T00:00:00Z">
            <w:dateFormat w:val="dd MMMM yyyy"/>
            <w:lid w:val="en-AU"/>
            <w:storeMappedDataAs w:val="dateTime"/>
            <w:calendar w:val="gregorian"/>
          </w:date>
        </w:sdtPr>
        <w:sdtEndPr>
          <w:rPr>
            <w:rStyle w:val="DefaultParagraphFont"/>
          </w:rPr>
        </w:sdtEndPr>
        <w:sdtContent>
          <w:r w:rsidR="00D0100E">
            <w:rPr>
              <w:rStyle w:val="Heading3Char"/>
              <w:b/>
            </w:rPr>
            <w:t>20 September 2024</w:t>
          </w:r>
        </w:sdtContent>
      </w:sdt>
      <w:bookmarkEnd w:id="12"/>
    </w:p>
    <w:tbl>
      <w:tblPr>
        <w:tblStyle w:val="TableGrid"/>
        <w:tblW w:w="0" w:type="auto"/>
        <w:tblLook w:val="04A0" w:firstRow="1" w:lastRow="0" w:firstColumn="1" w:lastColumn="0" w:noHBand="0" w:noVBand="1"/>
      </w:tblPr>
      <w:tblGrid>
        <w:gridCol w:w="1514"/>
        <w:gridCol w:w="7556"/>
      </w:tblGrid>
      <w:tr w:rsidR="00156F0D" w:rsidRPr="00B85F47" w14:paraId="5C02CFCC" w14:textId="77777777">
        <w:trPr>
          <w:cnfStyle w:val="100000000000" w:firstRow="1" w:lastRow="0" w:firstColumn="0" w:lastColumn="0" w:oddVBand="0" w:evenVBand="0" w:oddHBand="0" w:evenHBand="0" w:firstRowFirstColumn="0" w:firstRowLastColumn="0" w:lastRowFirstColumn="0" w:lastRowLastColumn="0"/>
        </w:trPr>
        <w:tc>
          <w:tcPr>
            <w:tcW w:w="1514" w:type="dxa"/>
          </w:tcPr>
          <w:p w14:paraId="15F872D6" w14:textId="77777777" w:rsidR="00156F0D" w:rsidRPr="00CD2B52" w:rsidRDefault="00156F0D">
            <w:pPr>
              <w:pStyle w:val="TableColumnHeadingLeft"/>
              <w:spacing w:before="96" w:after="96"/>
              <w:rPr>
                <w:b/>
                <w:bCs/>
              </w:rPr>
            </w:pPr>
            <w:r w:rsidRPr="00CD2B52">
              <w:rPr>
                <w:b/>
                <w:bCs/>
              </w:rPr>
              <w:t>Email</w:t>
            </w:r>
          </w:p>
        </w:tc>
        <w:tc>
          <w:tcPr>
            <w:tcW w:w="7556" w:type="dxa"/>
          </w:tcPr>
          <w:p w14:paraId="775A3DD3" w14:textId="77777777" w:rsidR="00156F0D" w:rsidRPr="00CD2B52" w:rsidRDefault="00156F0D">
            <w:pPr>
              <w:pStyle w:val="TableColumnHeadingLeft"/>
              <w:spacing w:before="96" w:after="96"/>
              <w:rPr>
                <w:b/>
                <w:bCs/>
              </w:rPr>
            </w:pPr>
            <w:r w:rsidRPr="00CD2B52">
              <w:rPr>
                <w:rFonts w:cs="Arial"/>
                <w:b/>
                <w:bCs/>
              </w:rPr>
              <w:t>CompetitionTaskforce@treasury.gov.au</w:t>
            </w:r>
          </w:p>
        </w:tc>
      </w:tr>
      <w:tr w:rsidR="00156F0D" w:rsidRPr="00B85F47" w14:paraId="061510A7" w14:textId="77777777">
        <w:tc>
          <w:tcPr>
            <w:tcW w:w="1514" w:type="dxa"/>
          </w:tcPr>
          <w:p w14:paraId="72EAA098" w14:textId="77777777" w:rsidR="00156F0D" w:rsidRPr="00143725" w:rsidRDefault="00156F0D">
            <w:pPr>
              <w:pStyle w:val="TableTextLeft"/>
              <w:rPr>
                <w:sz w:val="22"/>
                <w:szCs w:val="24"/>
              </w:rPr>
            </w:pPr>
            <w:r w:rsidRPr="00143725">
              <w:rPr>
                <w:sz w:val="22"/>
                <w:szCs w:val="24"/>
              </w:rPr>
              <w:t>Mail</w:t>
            </w:r>
          </w:p>
          <w:p w14:paraId="2E1FDF1B" w14:textId="77777777" w:rsidR="00156F0D" w:rsidRPr="00143725" w:rsidRDefault="00156F0D">
            <w:pPr>
              <w:pStyle w:val="TableTextLeft"/>
              <w:rPr>
                <w:sz w:val="22"/>
                <w:szCs w:val="24"/>
              </w:rPr>
            </w:pPr>
          </w:p>
          <w:p w14:paraId="17BEDA44" w14:textId="77777777" w:rsidR="00156F0D" w:rsidRPr="00143725" w:rsidRDefault="00156F0D">
            <w:pPr>
              <w:pStyle w:val="TableTextLeft"/>
              <w:rPr>
                <w:sz w:val="22"/>
                <w:szCs w:val="24"/>
              </w:rPr>
            </w:pPr>
          </w:p>
        </w:tc>
        <w:tc>
          <w:tcPr>
            <w:tcW w:w="7556" w:type="dxa"/>
          </w:tcPr>
          <w:p w14:paraId="0FC812CF" w14:textId="77777777" w:rsidR="00156F0D" w:rsidRPr="00143725" w:rsidRDefault="00156F0D">
            <w:pPr>
              <w:pStyle w:val="TableTextLeft"/>
              <w:rPr>
                <w:rFonts w:cs="Arial"/>
                <w:sz w:val="22"/>
                <w:szCs w:val="24"/>
              </w:rPr>
            </w:pPr>
            <w:r w:rsidRPr="00143725">
              <w:rPr>
                <w:rFonts w:cs="Arial"/>
                <w:sz w:val="22"/>
                <w:szCs w:val="24"/>
              </w:rPr>
              <w:t>Competition Taskforce</w:t>
            </w:r>
          </w:p>
          <w:p w14:paraId="09865A35" w14:textId="77777777" w:rsidR="00156F0D" w:rsidRPr="00143725" w:rsidRDefault="00156F0D">
            <w:pPr>
              <w:pStyle w:val="TableTextLeft"/>
              <w:rPr>
                <w:rFonts w:cs="Arial"/>
                <w:sz w:val="22"/>
                <w:szCs w:val="24"/>
              </w:rPr>
            </w:pPr>
            <w:r w:rsidRPr="00143725">
              <w:rPr>
                <w:rFonts w:cs="Arial"/>
                <w:sz w:val="22"/>
                <w:szCs w:val="24"/>
              </w:rPr>
              <w:t>The Treasury</w:t>
            </w:r>
          </w:p>
          <w:p w14:paraId="023F4FEA" w14:textId="77777777" w:rsidR="00156F0D" w:rsidRPr="00143725" w:rsidRDefault="00156F0D">
            <w:pPr>
              <w:pStyle w:val="TableTextLeft"/>
              <w:rPr>
                <w:rFonts w:cs="Arial"/>
                <w:sz w:val="22"/>
                <w:szCs w:val="24"/>
              </w:rPr>
            </w:pPr>
            <w:r w:rsidRPr="00143725">
              <w:rPr>
                <w:rFonts w:cs="Arial"/>
                <w:sz w:val="22"/>
                <w:szCs w:val="24"/>
              </w:rPr>
              <w:t>Langton Crescent</w:t>
            </w:r>
          </w:p>
          <w:p w14:paraId="51E98160" w14:textId="77777777" w:rsidR="00156F0D" w:rsidRPr="00143725" w:rsidRDefault="00156F0D">
            <w:pPr>
              <w:pStyle w:val="TableTextLeft"/>
              <w:rPr>
                <w:sz w:val="22"/>
                <w:szCs w:val="24"/>
              </w:rPr>
            </w:pPr>
            <w:r w:rsidRPr="00143725">
              <w:rPr>
                <w:sz w:val="22"/>
                <w:szCs w:val="24"/>
              </w:rPr>
              <w:t>PARKES ACT 2600</w:t>
            </w:r>
          </w:p>
        </w:tc>
      </w:tr>
      <w:tr w:rsidR="00156F0D" w:rsidRPr="00B85F47" w14:paraId="65E1C825" w14:textId="77777777">
        <w:tc>
          <w:tcPr>
            <w:tcW w:w="1514" w:type="dxa"/>
          </w:tcPr>
          <w:p w14:paraId="712C99CD" w14:textId="77777777" w:rsidR="00156F0D" w:rsidRPr="00143725" w:rsidRDefault="00156F0D">
            <w:pPr>
              <w:pStyle w:val="TableTextLeft"/>
              <w:rPr>
                <w:sz w:val="22"/>
                <w:szCs w:val="24"/>
              </w:rPr>
            </w:pPr>
            <w:r w:rsidRPr="00143725">
              <w:rPr>
                <w:sz w:val="22"/>
                <w:szCs w:val="24"/>
              </w:rPr>
              <w:t>Enquiries</w:t>
            </w:r>
          </w:p>
        </w:tc>
        <w:tc>
          <w:tcPr>
            <w:tcW w:w="7556" w:type="dxa"/>
          </w:tcPr>
          <w:p w14:paraId="57154415" w14:textId="77777777" w:rsidR="00156F0D" w:rsidRPr="00143725" w:rsidRDefault="00156F0D">
            <w:pPr>
              <w:pStyle w:val="TableTextLeft"/>
              <w:rPr>
                <w:sz w:val="22"/>
                <w:szCs w:val="24"/>
              </w:rPr>
            </w:pPr>
            <w:r w:rsidRPr="00143725">
              <w:rPr>
                <w:rFonts w:cs="Arial"/>
                <w:sz w:val="22"/>
                <w:szCs w:val="24"/>
              </w:rPr>
              <w:t>Enquiries can be directed to CompetitionTaskforce@treasury.gov.au</w:t>
            </w:r>
          </w:p>
        </w:tc>
      </w:tr>
    </w:tbl>
    <w:p w14:paraId="7B842EAB" w14:textId="77777777" w:rsidR="00156F0D" w:rsidRPr="00F33B73" w:rsidRDefault="00156F0D" w:rsidP="00156F0D"/>
    <w:p w14:paraId="1FE632B0" w14:textId="77777777" w:rsidR="00156F0D" w:rsidRDefault="00156F0D" w:rsidP="00156F0D">
      <w:pPr>
        <w:pStyle w:val="Heading1"/>
        <w:sectPr w:rsidR="00156F0D" w:rsidSect="00156F0D">
          <w:headerReference w:type="even" r:id="rId23"/>
          <w:headerReference w:type="default" r:id="rId24"/>
          <w:footerReference w:type="even" r:id="rId25"/>
          <w:footerReference w:type="default" r:id="rId26"/>
          <w:headerReference w:type="first" r:id="rId27"/>
          <w:footerReference w:type="first" r:id="rId28"/>
          <w:pgSz w:w="11906" w:h="16838" w:code="9"/>
          <w:pgMar w:top="1843" w:right="1417" w:bottom="1417" w:left="1417" w:header="709" w:footer="709" w:gutter="0"/>
          <w:cols w:space="708"/>
          <w:docGrid w:linePitch="360"/>
        </w:sectPr>
      </w:pPr>
    </w:p>
    <w:p w14:paraId="706BF60B" w14:textId="47BB4FDF" w:rsidR="00156F0D" w:rsidRDefault="00156F0D" w:rsidP="00156F0D">
      <w:pPr>
        <w:pStyle w:val="Heading1"/>
      </w:pPr>
      <w:bookmarkStart w:id="13" w:name="_Toc176443935"/>
      <w:r>
        <w:lastRenderedPageBreak/>
        <w:t>Executive s</w:t>
      </w:r>
      <w:r w:rsidRPr="00A524B9">
        <w:t>ummary</w:t>
      </w:r>
      <w:bookmarkEnd w:id="5"/>
      <w:bookmarkEnd w:id="6"/>
      <w:bookmarkEnd w:id="13"/>
      <w:r>
        <w:t xml:space="preserve"> </w:t>
      </w:r>
    </w:p>
    <w:p w14:paraId="03E50CC1" w14:textId="5F8AC918" w:rsidR="00156F0D" w:rsidRDefault="00156F0D" w:rsidP="00156F0D">
      <w:r>
        <w:t>Mergers and acquisitions are important for building a more productive and dynamic economy. They allow businesses to achieve greater economies of scale, and to access new resources, technology, and expertise. Importantly, mergers can benefit consumers through lower prices, more choice, and higher quality goods and services.</w:t>
      </w:r>
    </w:p>
    <w:p w14:paraId="78CB017F" w14:textId="44940CE3" w:rsidR="00156F0D" w:rsidRDefault="00594EDE" w:rsidP="00156F0D">
      <w:r>
        <w:t>However, s</w:t>
      </w:r>
      <w:r w:rsidR="00156F0D">
        <w:t xml:space="preserve">ome mergers </w:t>
      </w:r>
      <w:r w:rsidR="006E4643">
        <w:t>substantially lessen</w:t>
      </w:r>
      <w:r w:rsidR="00156F0D">
        <w:t xml:space="preserve"> competition, allowing businesses to raise prices and not pass economic gains </w:t>
      </w:r>
      <w:r w:rsidR="00E9692B">
        <w:t xml:space="preserve">on </w:t>
      </w:r>
      <w:r w:rsidR="00156F0D">
        <w:t xml:space="preserve">to consumers. Discouraging </w:t>
      </w:r>
      <w:r w:rsidR="00B417B9">
        <w:t xml:space="preserve">and </w:t>
      </w:r>
      <w:r w:rsidR="00CE4958">
        <w:t>opposing</w:t>
      </w:r>
      <w:r w:rsidR="00156F0D">
        <w:t xml:space="preserve"> such mergers is crucial for maintaining downward pressure on the cost of living.</w:t>
      </w:r>
    </w:p>
    <w:p w14:paraId="23DD363F" w14:textId="5B3A2FC6" w:rsidR="009A4A7F" w:rsidRDefault="00156F0D">
      <w:r>
        <w:t xml:space="preserve">The purpose of merger notification thresholds is to ensure the Australian Competition and Consumer Commission (ACCC) is </w:t>
      </w:r>
      <w:r w:rsidR="00D738B0">
        <w:t>aware</w:t>
      </w:r>
      <w:r>
        <w:t xml:space="preserve"> of those mergers most likely to impact Australian consumers if they are anti-competitive</w:t>
      </w:r>
      <w:r w:rsidR="003425D6">
        <w:t xml:space="preserve">, while keeping </w:t>
      </w:r>
      <w:r>
        <w:t xml:space="preserve">compliance </w:t>
      </w:r>
      <w:r w:rsidR="00BD5A9C">
        <w:t>cost</w:t>
      </w:r>
      <w:r w:rsidR="003425D6">
        <w:t>s low</w:t>
      </w:r>
      <w:r w:rsidR="00BD5A9C">
        <w:t xml:space="preserve"> for </w:t>
      </w:r>
      <w:r>
        <w:t>business.</w:t>
      </w:r>
    </w:p>
    <w:p w14:paraId="35897266" w14:textId="09B8ECEA" w:rsidR="00A444EE" w:rsidRDefault="00A721D1">
      <w:r>
        <w:t xml:space="preserve">The </w:t>
      </w:r>
      <w:r w:rsidR="007811D9">
        <w:t xml:space="preserve">Government’s </w:t>
      </w:r>
      <w:r w:rsidR="00447B93">
        <w:t xml:space="preserve">merger reform proposal will create </w:t>
      </w:r>
      <w:r w:rsidR="00151808">
        <w:t xml:space="preserve">a legal obligation </w:t>
      </w:r>
      <w:r w:rsidR="00BA1E93">
        <w:t xml:space="preserve">for </w:t>
      </w:r>
      <w:r w:rsidR="00447B93">
        <w:t>businesses</w:t>
      </w:r>
      <w:r w:rsidR="00BA1E93">
        <w:t xml:space="preserve"> to notify </w:t>
      </w:r>
      <w:r w:rsidR="00711E5B">
        <w:t>acquisitions</w:t>
      </w:r>
      <w:r w:rsidR="00EF1987" w:rsidRPr="00086331">
        <w:rPr>
          <w:rStyle w:val="FootnoteReference"/>
          <w:vertAlign w:val="superscript"/>
        </w:rPr>
        <w:footnoteReference w:id="3"/>
      </w:r>
      <w:r w:rsidR="00711E5B">
        <w:t xml:space="preserve"> that </w:t>
      </w:r>
      <w:r w:rsidR="00CB67FE">
        <w:t xml:space="preserve">are captured by </w:t>
      </w:r>
      <w:r w:rsidR="602AC1F8">
        <w:t>notification</w:t>
      </w:r>
      <w:r w:rsidR="00CB67FE">
        <w:t xml:space="preserve"> thresholds</w:t>
      </w:r>
      <w:r w:rsidR="00447B93">
        <w:t xml:space="preserve">, </w:t>
      </w:r>
      <w:r w:rsidR="00B87111">
        <w:t xml:space="preserve">enforced by </w:t>
      </w:r>
      <w:r w:rsidR="007A767E">
        <w:t xml:space="preserve">substantial penalties. </w:t>
      </w:r>
      <w:r w:rsidR="00EF1987">
        <w:t xml:space="preserve">The system is designed </w:t>
      </w:r>
      <w:r w:rsidR="004947B2">
        <w:t xml:space="preserve">so </w:t>
      </w:r>
      <w:r w:rsidR="004C1EC9">
        <w:t>businesses</w:t>
      </w:r>
      <w:r w:rsidR="00CB04E4">
        <w:t xml:space="preserve"> will</w:t>
      </w:r>
      <w:r w:rsidR="004C1EC9">
        <w:t xml:space="preserve"> </w:t>
      </w:r>
      <w:r w:rsidR="00795941">
        <w:t>have strong incentive</w:t>
      </w:r>
      <w:r w:rsidR="00906149">
        <w:t>s</w:t>
      </w:r>
      <w:r w:rsidR="00284514">
        <w:t xml:space="preserve"> to notify </w:t>
      </w:r>
      <w:r w:rsidR="00DA7965">
        <w:t xml:space="preserve">such </w:t>
      </w:r>
      <w:r w:rsidR="00284514">
        <w:t>acquisitions</w:t>
      </w:r>
      <w:r w:rsidR="00CB04E4">
        <w:t>.</w:t>
      </w:r>
      <w:r w:rsidR="00EF1987">
        <w:t xml:space="preserve"> Importantly, businesses will </w:t>
      </w:r>
      <w:r w:rsidR="00C126FF">
        <w:t>obtain a timely decision and</w:t>
      </w:r>
      <w:r w:rsidR="00CB04E4">
        <w:t xml:space="preserve"> </w:t>
      </w:r>
      <w:r w:rsidR="003465F0">
        <w:t xml:space="preserve">certainty </w:t>
      </w:r>
      <w:r w:rsidR="007A767E">
        <w:t>that</w:t>
      </w:r>
      <w:r w:rsidR="000A34D6">
        <w:t xml:space="preserve"> </w:t>
      </w:r>
      <w:r w:rsidR="006D1C89">
        <w:t>the ACCC</w:t>
      </w:r>
      <w:r w:rsidR="003465F0">
        <w:t xml:space="preserve"> </w:t>
      </w:r>
      <w:r w:rsidR="00341B8E">
        <w:t>cannot take action for</w:t>
      </w:r>
      <w:r w:rsidR="00037DE1">
        <w:t xml:space="preserve"> </w:t>
      </w:r>
      <w:r w:rsidR="007A767E">
        <w:t>potential</w:t>
      </w:r>
      <w:r w:rsidR="00FD2486">
        <w:t xml:space="preserve"> </w:t>
      </w:r>
      <w:r w:rsidR="002A683A">
        <w:t>breach</w:t>
      </w:r>
      <w:r w:rsidR="00F47B1D">
        <w:t>es</w:t>
      </w:r>
      <w:r w:rsidR="00FD2486">
        <w:t xml:space="preserve"> of the</w:t>
      </w:r>
      <w:r w:rsidR="00DB6CC5">
        <w:t xml:space="preserve"> </w:t>
      </w:r>
      <w:r w:rsidR="00EF1987" w:rsidRPr="00B27D05">
        <w:rPr>
          <w:i/>
        </w:rPr>
        <w:t>Competition and Consumer Act</w:t>
      </w:r>
      <w:r w:rsidR="00EF1987">
        <w:rPr>
          <w:i/>
        </w:rPr>
        <w:t xml:space="preserve"> </w:t>
      </w:r>
      <w:r w:rsidR="00545DFE">
        <w:rPr>
          <w:i/>
          <w:iCs/>
        </w:rPr>
        <w:t>2010</w:t>
      </w:r>
      <w:r w:rsidR="00EF1987" w:rsidRPr="00B27D05">
        <w:rPr>
          <w:i/>
        </w:rPr>
        <w:t xml:space="preserve"> </w:t>
      </w:r>
      <w:r w:rsidR="00EF1987">
        <w:t>(</w:t>
      </w:r>
      <w:r w:rsidR="00EF1987" w:rsidRPr="3A0ACD4F">
        <w:rPr>
          <w:i/>
          <w:iCs/>
        </w:rPr>
        <w:t>Cth</w:t>
      </w:r>
      <w:r w:rsidR="00EF1987">
        <w:t>) (CCA)</w:t>
      </w:r>
      <w:r w:rsidR="00B60EC0">
        <w:t xml:space="preserve">. </w:t>
      </w:r>
    </w:p>
    <w:p w14:paraId="1DD9F628" w14:textId="5DD026F8" w:rsidR="006E69C0" w:rsidRDefault="006E69C0" w:rsidP="00033C18">
      <w:r>
        <w:t>Striking an appropriate balance is important to facilitate investment in Australia, while ensuring that potentially problematic acquisitions can be scrutinised. This means designing targeted, risk-based notification thresholds and ensuring expedited review of notified mergers that do not raise competition concerns.</w:t>
      </w:r>
      <w:r w:rsidRPr="008150D4">
        <w:t xml:space="preserve"> </w:t>
      </w:r>
      <w:r>
        <w:t>Businesses could also seek a ‘notification waiver’ from the ACCC, removing the obligation to notify if granted, including if there is uncertainty as to whether the notification thresholds are met.</w:t>
      </w:r>
    </w:p>
    <w:p w14:paraId="053C2E92" w14:textId="1573E724" w:rsidR="00C7596E" w:rsidRDefault="00C7596E" w:rsidP="00033C18">
      <w:bookmarkStart w:id="14" w:name="_Hlk174057197"/>
      <w:r>
        <w:t>In designing targeted, risk-based notification thresholds, the objectives should be to:</w:t>
      </w:r>
    </w:p>
    <w:p w14:paraId="0D8FD47F" w14:textId="1C89293B" w:rsidR="00156F0D" w:rsidRDefault="00C62718" w:rsidP="00EC22B6">
      <w:pPr>
        <w:pStyle w:val="Bullet"/>
      </w:pPr>
      <w:r>
        <w:t>c</w:t>
      </w:r>
      <w:r w:rsidR="00173D64" w:rsidRPr="00B05C1E">
        <w:t>aptur</w:t>
      </w:r>
      <w:r w:rsidR="00173D64">
        <w:t>e</w:t>
      </w:r>
      <w:r w:rsidR="00173D64" w:rsidRPr="00B05C1E">
        <w:t xml:space="preserve"> </w:t>
      </w:r>
      <w:r w:rsidR="00156F0D" w:rsidRPr="00B05C1E">
        <w:t>anti</w:t>
      </w:r>
      <w:r w:rsidR="00156F0D">
        <w:t>-</w:t>
      </w:r>
      <w:r w:rsidR="00156F0D" w:rsidRPr="00B05C1E">
        <w:t xml:space="preserve">competitive </w:t>
      </w:r>
      <w:r w:rsidR="00156F0D">
        <w:t xml:space="preserve">and economically significant </w:t>
      </w:r>
      <w:r w:rsidR="00156F0D" w:rsidRPr="00B05C1E">
        <w:t>acquisitions</w:t>
      </w:r>
      <w:r w:rsidR="00156F0D">
        <w:t>, at national, state, territory</w:t>
      </w:r>
      <w:r w:rsidR="00010CB7">
        <w:t>,</w:t>
      </w:r>
      <w:r w:rsidR="00156F0D">
        <w:t xml:space="preserve"> regional </w:t>
      </w:r>
      <w:r w:rsidR="00010CB7">
        <w:t xml:space="preserve">or local </w:t>
      </w:r>
      <w:bookmarkStart w:id="15" w:name="_Hlk173872190"/>
      <w:r w:rsidR="00156F0D">
        <w:t>level</w:t>
      </w:r>
      <w:bookmarkEnd w:id="15"/>
      <w:r w:rsidR="00A03EE0">
        <w:t>s</w:t>
      </w:r>
      <w:r w:rsidR="00156F0D" w:rsidRPr="00B05C1E">
        <w:t xml:space="preserve">, including serial </w:t>
      </w:r>
      <w:r w:rsidR="00F55390" w:rsidRPr="00B05C1E">
        <w:t>acquisitions</w:t>
      </w:r>
    </w:p>
    <w:p w14:paraId="2BF1E005" w14:textId="0384D47E" w:rsidR="00443679" w:rsidRDefault="00C62718" w:rsidP="00EC22B6">
      <w:pPr>
        <w:pStyle w:val="Bullet"/>
      </w:pPr>
      <w:r>
        <w:t>e</w:t>
      </w:r>
      <w:r w:rsidR="00173D64">
        <w:t xml:space="preserve">nable </w:t>
      </w:r>
      <w:r w:rsidR="00156F0D">
        <w:t>scrutiny of acquisitions by businesses with substantial market power</w:t>
      </w:r>
      <w:r w:rsidR="00F303D0">
        <w:t>, including acquisitions</w:t>
      </w:r>
      <w:r w:rsidR="00E06407">
        <w:t xml:space="preserve"> of nascent competit</w:t>
      </w:r>
      <w:r w:rsidR="00F55390">
        <w:t>ors</w:t>
      </w:r>
    </w:p>
    <w:bookmarkEnd w:id="14"/>
    <w:p w14:paraId="5DE3303E" w14:textId="2BD7B9D3" w:rsidR="00156F0D" w:rsidRDefault="00C62718" w:rsidP="00EC22B6">
      <w:pPr>
        <w:pStyle w:val="Bullet"/>
      </w:pPr>
      <w:r>
        <w:t>t</w:t>
      </w:r>
      <w:r w:rsidR="00156F0D">
        <w:t xml:space="preserve">arget acquisitions that </w:t>
      </w:r>
      <w:r w:rsidR="004C16DC">
        <w:t xml:space="preserve">adversely </w:t>
      </w:r>
      <w:r w:rsidR="00156F0D">
        <w:t>impact Australian</w:t>
      </w:r>
      <w:r w:rsidR="00EB207B">
        <w:t xml:space="preserve"> consumers</w:t>
      </w:r>
      <w:r w:rsidR="00563E21">
        <w:t>,</w:t>
      </w:r>
      <w:r w:rsidR="00316676">
        <w:t xml:space="preserve"> </w:t>
      </w:r>
      <w:r w:rsidR="0030574B">
        <w:t xml:space="preserve">while </w:t>
      </w:r>
      <w:r w:rsidR="008737C6">
        <w:t>not capturing</w:t>
      </w:r>
      <w:r w:rsidR="0030574B">
        <w:t xml:space="preserve"> </w:t>
      </w:r>
      <w:r w:rsidR="003571CD">
        <w:t xml:space="preserve">foreign </w:t>
      </w:r>
      <w:r w:rsidR="002724BF">
        <w:t>acquisitions</w:t>
      </w:r>
      <w:r w:rsidR="003571CD">
        <w:t xml:space="preserve"> that </w:t>
      </w:r>
      <w:r w:rsidR="00210CE6">
        <w:t>do not have a suffic</w:t>
      </w:r>
      <w:r w:rsidR="000451CA">
        <w:t>i</w:t>
      </w:r>
      <w:r w:rsidR="00210CE6">
        <w:t xml:space="preserve">ent connection </w:t>
      </w:r>
      <w:r w:rsidR="002D7B36">
        <w:t xml:space="preserve">to Australia </w:t>
      </w:r>
      <w:r w:rsidR="00210CE6">
        <w:t xml:space="preserve">and </w:t>
      </w:r>
      <w:r w:rsidR="00B618B2">
        <w:t xml:space="preserve">are unlikely to </w:t>
      </w:r>
      <w:r w:rsidR="00D03814">
        <w:t>impact</w:t>
      </w:r>
      <w:r w:rsidR="00597842">
        <w:t xml:space="preserve"> Australian</w:t>
      </w:r>
      <w:r w:rsidR="001A64E4">
        <w:t xml:space="preserve"> consumers</w:t>
      </w:r>
      <w:r w:rsidR="00156F0D">
        <w:t>.</w:t>
      </w:r>
    </w:p>
    <w:p w14:paraId="5E735221" w14:textId="3873F668" w:rsidR="006124E8" w:rsidRDefault="00156F0D" w:rsidP="00BD6EF4">
      <w:r>
        <w:t>Based on international practice and available data, Treasury has developed the following monetary and market concentration thresholds for consultation with stakeholders</w:t>
      </w:r>
      <w:r w:rsidR="00DA20BA">
        <w:t>.</w:t>
      </w:r>
      <w:r w:rsidR="007A2802">
        <w:t xml:space="preserve"> </w:t>
      </w:r>
      <w:r w:rsidR="00EA1EA2">
        <w:t xml:space="preserve">This is to identify the pool of </w:t>
      </w:r>
      <w:r w:rsidR="00157AA9">
        <w:t xml:space="preserve">acquisitions </w:t>
      </w:r>
      <w:r w:rsidR="00EA1EA2">
        <w:t xml:space="preserve">that </w:t>
      </w:r>
      <w:r w:rsidR="003C5F88">
        <w:t xml:space="preserve">require assessment by the ACCC and prevent </w:t>
      </w:r>
      <w:r w:rsidR="00EA1EA2">
        <w:t xml:space="preserve">the small number of harmful </w:t>
      </w:r>
      <w:r w:rsidR="004D4AF8">
        <w:t>anti</w:t>
      </w:r>
      <w:r w:rsidR="004D4AF8">
        <w:noBreakHyphen/>
        <w:t xml:space="preserve">competitive </w:t>
      </w:r>
      <w:r w:rsidR="00157AA9">
        <w:t xml:space="preserve">acquisitions </w:t>
      </w:r>
      <w:r w:rsidR="00EA1EA2">
        <w:t>likely to increase the cost of living for Australians.</w:t>
      </w:r>
      <w:r w:rsidR="00DA20BA">
        <w:t xml:space="preserve"> </w:t>
      </w:r>
      <w:r w:rsidR="00FE5FC6">
        <w:t xml:space="preserve">Treasury is seeking feedback on the proposed </w:t>
      </w:r>
      <w:r w:rsidR="00835162">
        <w:t xml:space="preserve">design and values of the thresholds, </w:t>
      </w:r>
      <w:r w:rsidR="00795225">
        <w:t xml:space="preserve">such as </w:t>
      </w:r>
      <w:r w:rsidR="00B56A30">
        <w:t xml:space="preserve">whether </w:t>
      </w:r>
      <w:r w:rsidR="00AD51EF">
        <w:t xml:space="preserve">market share or share of supply </w:t>
      </w:r>
      <w:r w:rsidR="00243059">
        <w:t>measures should be used for the market concentration thresholds</w:t>
      </w:r>
      <w:r>
        <w:t>.</w:t>
      </w:r>
      <w:r w:rsidRPr="00491C83">
        <w:t xml:space="preserve"> </w:t>
      </w:r>
    </w:p>
    <w:p w14:paraId="17FE4014" w14:textId="126C99B5" w:rsidR="0032296E" w:rsidRDefault="00ED3CFA" w:rsidP="00985D42">
      <w:r w:rsidRPr="00ED3CFA">
        <w:rPr>
          <w:noProof/>
        </w:rPr>
        <w:lastRenderedPageBreak/>
        <w:drawing>
          <wp:inline distT="0" distB="0" distL="0" distR="0" wp14:anchorId="545B4E8B" wp14:editId="6FEE30F6">
            <wp:extent cx="5760720" cy="2511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511425"/>
                    </a:xfrm>
                    <a:prstGeom prst="rect">
                      <a:avLst/>
                    </a:prstGeom>
                    <a:noFill/>
                    <a:ln>
                      <a:noFill/>
                    </a:ln>
                  </pic:spPr>
                </pic:pic>
              </a:graphicData>
            </a:graphic>
          </wp:inline>
        </w:drawing>
      </w:r>
    </w:p>
    <w:p w14:paraId="7462A5B4" w14:textId="53C0CAEC" w:rsidR="00A9295B" w:rsidRDefault="002C3984" w:rsidP="00A9295B">
      <w:r>
        <w:t xml:space="preserve">There are other </w:t>
      </w:r>
      <w:r w:rsidR="00A9295B">
        <w:t xml:space="preserve">risk factors </w:t>
      </w:r>
      <w:r w:rsidR="000E4BBB">
        <w:t>that could also</w:t>
      </w:r>
      <w:r w:rsidR="00675CCD">
        <w:t xml:space="preserve"> </w:t>
      </w:r>
      <w:r w:rsidR="00AA0049">
        <w:t xml:space="preserve">indicate </w:t>
      </w:r>
      <w:r w:rsidR="00675CCD">
        <w:t xml:space="preserve">specific </w:t>
      </w:r>
      <w:r w:rsidR="00746A3E">
        <w:t>competition concerns</w:t>
      </w:r>
      <w:r w:rsidR="00675CCD">
        <w:t xml:space="preserve">, such as </w:t>
      </w:r>
      <w:r w:rsidR="00CF7F56">
        <w:t xml:space="preserve">small </w:t>
      </w:r>
      <w:r w:rsidR="00FC11E7">
        <w:t xml:space="preserve">acquisitions </w:t>
      </w:r>
      <w:r w:rsidR="003F153B">
        <w:t>with</w:t>
      </w:r>
      <w:r w:rsidR="00CF7F56">
        <w:t>in</w:t>
      </w:r>
      <w:r w:rsidR="000A5AA7">
        <w:t xml:space="preserve"> specific </w:t>
      </w:r>
      <w:r w:rsidR="00EF3B0C">
        <w:t xml:space="preserve">sectors </w:t>
      </w:r>
      <w:r w:rsidR="00BA3D1C">
        <w:t>or local markets</w:t>
      </w:r>
      <w:r w:rsidR="00AF781B">
        <w:t xml:space="preserve">. Such </w:t>
      </w:r>
      <w:r w:rsidR="00FC11E7">
        <w:t>acquisitions</w:t>
      </w:r>
      <w:r w:rsidR="00AF781B" w:rsidDel="00FC11E7">
        <w:t xml:space="preserve"> </w:t>
      </w:r>
      <w:r w:rsidR="00AF781B">
        <w:t xml:space="preserve">could also </w:t>
      </w:r>
      <w:r w:rsidR="00004767">
        <w:t xml:space="preserve">be required to notify </w:t>
      </w:r>
      <w:r w:rsidR="00B349D7">
        <w:t xml:space="preserve">as a result of </w:t>
      </w:r>
      <w:r w:rsidR="00004767">
        <w:t>a Ministerial determination</w:t>
      </w:r>
      <w:r w:rsidR="00AF781B">
        <w:t xml:space="preserve">, </w:t>
      </w:r>
      <w:r w:rsidR="005657BB">
        <w:t>if there are evidence</w:t>
      </w:r>
      <w:r w:rsidR="006021A8">
        <w:t>-</w:t>
      </w:r>
      <w:r w:rsidR="005657BB">
        <w:t xml:space="preserve">based concerns </w:t>
      </w:r>
      <w:r w:rsidR="001F0485">
        <w:t xml:space="preserve">about high-risk acquisitions, </w:t>
      </w:r>
      <w:r w:rsidR="00AF781B">
        <w:t>avoiding the need to lower</w:t>
      </w:r>
      <w:r w:rsidR="00464087">
        <w:t xml:space="preserve"> the economy-wide</w:t>
      </w:r>
      <w:r w:rsidR="004263EE">
        <w:t xml:space="preserve"> thresholds and </w:t>
      </w:r>
      <w:r w:rsidR="00A9295B">
        <w:t xml:space="preserve">reducing the incidental </w:t>
      </w:r>
      <w:r w:rsidR="003E4D9A">
        <w:t xml:space="preserve">capture </w:t>
      </w:r>
      <w:r w:rsidR="00A9295B">
        <w:t xml:space="preserve">of benign mergers within the thresholds. </w:t>
      </w:r>
      <w:r w:rsidR="001F0485">
        <w:t xml:space="preserve">For </w:t>
      </w:r>
      <w:r w:rsidR="00DA1A05">
        <w:t>example</w:t>
      </w:r>
      <w:r w:rsidR="00F96DC0">
        <w:t xml:space="preserve">, </w:t>
      </w:r>
      <w:r w:rsidR="00355AAA">
        <w:t xml:space="preserve">some </w:t>
      </w:r>
      <w:r w:rsidR="00FC11E7">
        <w:t>acquisitions</w:t>
      </w:r>
      <w:r w:rsidR="00120A3E">
        <w:t xml:space="preserve"> in </w:t>
      </w:r>
      <w:r w:rsidR="008851A0">
        <w:t>the grocery retailing sector</w:t>
      </w:r>
      <w:r w:rsidR="00E86E3A">
        <w:t xml:space="preserve"> and other high</w:t>
      </w:r>
      <w:r w:rsidR="00BE0BEE">
        <w:t>-</w:t>
      </w:r>
      <w:r w:rsidR="00E86E3A">
        <w:t>risk sectors</w:t>
      </w:r>
      <w:r w:rsidR="008851A0">
        <w:t xml:space="preserve"> could be subject to these more </w:t>
      </w:r>
      <w:r w:rsidR="00775AF2">
        <w:t xml:space="preserve">targeted </w:t>
      </w:r>
      <w:r w:rsidR="00FE6739">
        <w:t xml:space="preserve">notification </w:t>
      </w:r>
      <w:r w:rsidR="00FC75BD">
        <w:t>requirements</w:t>
      </w:r>
      <w:r w:rsidR="00FE6739">
        <w:t>.</w:t>
      </w:r>
    </w:p>
    <w:p w14:paraId="16E12C32" w14:textId="70914618" w:rsidR="002A231A" w:rsidRDefault="00F97815" w:rsidP="00DF2681">
      <w:r>
        <w:t xml:space="preserve">These </w:t>
      </w:r>
      <w:r w:rsidR="00FC2138">
        <w:t xml:space="preserve">proposed </w:t>
      </w:r>
      <w:r>
        <w:t xml:space="preserve">thresholds are based on </w:t>
      </w:r>
      <w:r w:rsidR="00C62445">
        <w:t>Treasury</w:t>
      </w:r>
      <w:r w:rsidR="00C63BED">
        <w:t>’s</w:t>
      </w:r>
      <w:r w:rsidR="00C62445">
        <w:t xml:space="preserve"> analy</w:t>
      </w:r>
      <w:r>
        <w:t xml:space="preserve">sis </w:t>
      </w:r>
      <w:r w:rsidR="0006342C">
        <w:t xml:space="preserve">of </w:t>
      </w:r>
      <w:r w:rsidR="00C63BED">
        <w:t xml:space="preserve">the </w:t>
      </w:r>
      <w:r w:rsidR="00C62445">
        <w:t>ACCC</w:t>
      </w:r>
      <w:r w:rsidR="00C63BED">
        <w:t>’s</w:t>
      </w:r>
      <w:r w:rsidR="00C62445">
        <w:t xml:space="preserve"> </w:t>
      </w:r>
      <w:r w:rsidR="00543295">
        <w:t xml:space="preserve">historical </w:t>
      </w:r>
      <w:r w:rsidR="00C62445">
        <w:t xml:space="preserve">public merger review data </w:t>
      </w:r>
      <w:r w:rsidR="00F80AC7">
        <w:t xml:space="preserve">that </w:t>
      </w:r>
      <w:r w:rsidR="00C62445">
        <w:t>identif</w:t>
      </w:r>
      <w:r w:rsidR="00F80AC7">
        <w:t>ies</w:t>
      </w:r>
      <w:r w:rsidR="00C62445">
        <w:t xml:space="preserve"> acquisitions that raised potential competition concerns</w:t>
      </w:r>
      <w:r w:rsidR="00AF712B">
        <w:t xml:space="preserve">, </w:t>
      </w:r>
      <w:r w:rsidR="00A92814">
        <w:t xml:space="preserve">and </w:t>
      </w:r>
      <w:r w:rsidR="00AF712B">
        <w:t>captu</w:t>
      </w:r>
      <w:r w:rsidR="00A92814">
        <w:t>re</w:t>
      </w:r>
      <w:r w:rsidR="00AF712B">
        <w:t xml:space="preserve"> </w:t>
      </w:r>
      <w:r w:rsidR="000A3B01">
        <w:t xml:space="preserve">around </w:t>
      </w:r>
      <w:r w:rsidR="007B2B54">
        <w:t>9</w:t>
      </w:r>
      <w:r w:rsidR="000A3B01">
        <w:t>0</w:t>
      </w:r>
      <w:r w:rsidR="00265DB8">
        <w:t> </w:t>
      </w:r>
      <w:r w:rsidR="00D76C13">
        <w:t>per</w:t>
      </w:r>
      <w:r w:rsidR="00967D1A">
        <w:t xml:space="preserve"> </w:t>
      </w:r>
      <w:r w:rsidR="11A18B4D">
        <w:t xml:space="preserve">cent </w:t>
      </w:r>
      <w:r w:rsidR="00D76C13">
        <w:t xml:space="preserve">of all </w:t>
      </w:r>
      <w:r w:rsidR="00D75397">
        <w:t xml:space="preserve">acquisitions </w:t>
      </w:r>
      <w:r w:rsidR="005F49D7">
        <w:t xml:space="preserve">that were publicly reviewed and </w:t>
      </w:r>
      <w:r w:rsidR="001E1A1F">
        <w:t>considered</w:t>
      </w:r>
      <w:r w:rsidR="00303C31">
        <w:t xml:space="preserve"> by the ACCC</w:t>
      </w:r>
      <w:r w:rsidR="008413ED">
        <w:t xml:space="preserve"> </w:t>
      </w:r>
      <w:r w:rsidR="00E1138D">
        <w:t xml:space="preserve">as potentially </w:t>
      </w:r>
      <w:r w:rsidR="00CC07D5">
        <w:t xml:space="preserve">raising competition concerns </w:t>
      </w:r>
      <w:r w:rsidR="00D76C13">
        <w:t xml:space="preserve">since 2018. </w:t>
      </w:r>
      <w:r w:rsidR="000A3B01">
        <w:t xml:space="preserve">The </w:t>
      </w:r>
      <w:r w:rsidR="00565361">
        <w:t>remaining</w:t>
      </w:r>
      <w:r w:rsidR="000A3B01">
        <w:t xml:space="preserve"> </w:t>
      </w:r>
      <w:r w:rsidR="00A93E7E">
        <w:t>around</w:t>
      </w:r>
      <w:r w:rsidR="000A3B01">
        <w:t xml:space="preserve"> 10 per cent of h</w:t>
      </w:r>
      <w:r w:rsidR="002D328E">
        <w:t xml:space="preserve">istorical </w:t>
      </w:r>
      <w:r w:rsidR="00366CD5">
        <w:t xml:space="preserve">below-the-threshold </w:t>
      </w:r>
      <w:r w:rsidR="002D328E">
        <w:t xml:space="preserve">acquisitions </w:t>
      </w:r>
      <w:r w:rsidR="00AF6E54">
        <w:t xml:space="preserve">that </w:t>
      </w:r>
      <w:r w:rsidR="00D22E0A">
        <w:t>rais</w:t>
      </w:r>
      <w:r w:rsidR="00AF6E54">
        <w:t>e</w:t>
      </w:r>
      <w:r w:rsidR="007E08BC">
        <w:t>d</w:t>
      </w:r>
      <w:r w:rsidR="00D22E0A">
        <w:t xml:space="preserve"> </w:t>
      </w:r>
      <w:r w:rsidR="00916182">
        <w:t>competition concerns</w:t>
      </w:r>
      <w:r w:rsidR="002D328E">
        <w:t xml:space="preserve"> </w:t>
      </w:r>
      <w:r w:rsidR="00366CD5">
        <w:t>could</w:t>
      </w:r>
      <w:r w:rsidR="007F62C5">
        <w:t xml:space="preserve">, </w:t>
      </w:r>
      <w:r w:rsidR="00366CD5">
        <w:t xml:space="preserve">under the new system, be investigated </w:t>
      </w:r>
      <w:r w:rsidR="79B47CA1">
        <w:t>by the</w:t>
      </w:r>
      <w:r w:rsidR="00366CD5">
        <w:t xml:space="preserve"> ACCC for breach of any other </w:t>
      </w:r>
      <w:r w:rsidR="00A2491E">
        <w:t xml:space="preserve">applicable </w:t>
      </w:r>
      <w:r w:rsidR="00366CD5">
        <w:t>provisions of the CCA</w:t>
      </w:r>
      <w:r w:rsidR="00397991">
        <w:t>.</w:t>
      </w:r>
    </w:p>
    <w:p w14:paraId="3AA6D66E" w14:textId="79615A08" w:rsidR="00DF2681" w:rsidRDefault="00AE44CB" w:rsidP="00DF2681">
      <w:r>
        <w:t xml:space="preserve">Over time, the thresholds </w:t>
      </w:r>
      <w:r w:rsidR="009F03D1">
        <w:t xml:space="preserve">are </w:t>
      </w:r>
      <w:r w:rsidRPr="00AE44CB">
        <w:t xml:space="preserve">expected to average an overall volume of </w:t>
      </w:r>
      <w:r w:rsidR="005705B8">
        <w:t xml:space="preserve">mandatory </w:t>
      </w:r>
      <w:r w:rsidRPr="00AE44CB">
        <w:t>notifications similar to current volumes</w:t>
      </w:r>
      <w:r w:rsidR="003550E4">
        <w:t xml:space="preserve">, with around </w:t>
      </w:r>
      <w:r w:rsidR="00A45D06">
        <w:t>300</w:t>
      </w:r>
      <w:r w:rsidR="003550E4" w:rsidRPr="00FB194B">
        <w:t xml:space="preserve"> to </w:t>
      </w:r>
      <w:r w:rsidR="00A45D06">
        <w:t>500</w:t>
      </w:r>
      <w:r w:rsidR="0066292E" w:rsidRPr="00BE7ED3">
        <w:t xml:space="preserve"> </w:t>
      </w:r>
      <w:r w:rsidR="003550E4" w:rsidRPr="00FB194B">
        <w:t>annual</w:t>
      </w:r>
      <w:r w:rsidR="003550E4">
        <w:t xml:space="preserve"> notifications projected using existing available data</w:t>
      </w:r>
      <w:r w:rsidR="009B7C22">
        <w:t>.</w:t>
      </w:r>
      <w:r w:rsidR="00817BDE">
        <w:t xml:space="preserve"> </w:t>
      </w:r>
      <w:r w:rsidR="002915E5">
        <w:t>Regular reviews</w:t>
      </w:r>
      <w:r w:rsidR="00D24E76">
        <w:t>,</w:t>
      </w:r>
      <w:r w:rsidR="002915E5">
        <w:t xml:space="preserve"> including</w:t>
      </w:r>
      <w:r w:rsidR="00817BDE" w:rsidRPr="00817BDE">
        <w:t xml:space="preserve"> the three-year review and annual reports</w:t>
      </w:r>
      <w:r w:rsidR="00D24E76">
        <w:t>,</w:t>
      </w:r>
      <w:r w:rsidR="00817BDE" w:rsidRPr="00817BDE">
        <w:t xml:space="preserve"> </w:t>
      </w:r>
      <w:r w:rsidR="005A6202">
        <w:t xml:space="preserve">will be </w:t>
      </w:r>
      <w:r w:rsidR="000F06AB">
        <w:t>important</w:t>
      </w:r>
      <w:r w:rsidR="00817BDE" w:rsidRPr="00817BDE">
        <w:t xml:space="preserve"> </w:t>
      </w:r>
      <w:r w:rsidR="00FC72AA">
        <w:t>to</w:t>
      </w:r>
      <w:r w:rsidR="00817BDE" w:rsidRPr="00817BDE">
        <w:t xml:space="preserve"> </w:t>
      </w:r>
      <w:r w:rsidR="00104834">
        <w:t>consider</w:t>
      </w:r>
      <w:r w:rsidR="00817BDE" w:rsidRPr="00817BDE">
        <w:t xml:space="preserve"> </w:t>
      </w:r>
      <w:r w:rsidR="00A3761A">
        <w:t xml:space="preserve">system </w:t>
      </w:r>
      <w:r w:rsidR="00817BDE" w:rsidRPr="00817BDE">
        <w:t>efficiency</w:t>
      </w:r>
      <w:r w:rsidR="005A6202">
        <w:t xml:space="preserve"> and the volume of notifications</w:t>
      </w:r>
      <w:r w:rsidR="00817BDE">
        <w:t>.</w:t>
      </w:r>
    </w:p>
    <w:p w14:paraId="7C45C008" w14:textId="185CFE21" w:rsidR="00D76C13" w:rsidRDefault="009F6ACE" w:rsidP="00D76C13">
      <w:r>
        <w:t xml:space="preserve">The types of mergers </w:t>
      </w:r>
      <w:r w:rsidR="001E1209">
        <w:t xml:space="preserve">that pose competition concerns will change </w:t>
      </w:r>
      <w:r w:rsidR="0098732C">
        <w:t xml:space="preserve">as the </w:t>
      </w:r>
      <w:r w:rsidR="001E1209">
        <w:t xml:space="preserve">economy </w:t>
      </w:r>
      <w:r w:rsidR="0098732C">
        <w:t>changes and as new data and analysis becomes available</w:t>
      </w:r>
      <w:r w:rsidR="00C70A4E">
        <w:t xml:space="preserve">. </w:t>
      </w:r>
      <w:r w:rsidR="00940D22">
        <w:t>The intention is that</w:t>
      </w:r>
      <w:r w:rsidR="00D76C13">
        <w:t xml:space="preserve"> notification data </w:t>
      </w:r>
      <w:r w:rsidR="00940D22">
        <w:t>is used</w:t>
      </w:r>
      <w:r w:rsidR="00D76C13">
        <w:t xml:space="preserve"> </w:t>
      </w:r>
      <w:r w:rsidR="00314DDF">
        <w:t>along with o</w:t>
      </w:r>
      <w:r w:rsidR="00113FA8">
        <w:t>t</w:t>
      </w:r>
      <w:r w:rsidR="00314DDF">
        <w:t xml:space="preserve">her </w:t>
      </w:r>
      <w:r w:rsidR="00D76C13">
        <w:t xml:space="preserve">data analytic techniques to monitor </w:t>
      </w:r>
      <w:r w:rsidR="00113FA8">
        <w:t xml:space="preserve">mergers </w:t>
      </w:r>
      <w:r w:rsidR="00FC4446">
        <w:t>not caught by</w:t>
      </w:r>
      <w:r w:rsidR="00113FA8">
        <w:t xml:space="preserve"> the thre</w:t>
      </w:r>
      <w:r w:rsidR="00C11307">
        <w:t xml:space="preserve">sholds </w:t>
      </w:r>
      <w:r w:rsidR="003232F0">
        <w:t xml:space="preserve">and </w:t>
      </w:r>
      <w:r w:rsidR="00FC4446">
        <w:t xml:space="preserve">to monitor </w:t>
      </w:r>
      <w:r w:rsidR="00113FA8">
        <w:t xml:space="preserve">the </w:t>
      </w:r>
      <w:r w:rsidR="00FC4446">
        <w:t>system</w:t>
      </w:r>
      <w:r w:rsidR="00A2491E">
        <w:t>’</w:t>
      </w:r>
      <w:r w:rsidR="00FC4446">
        <w:t xml:space="preserve">s </w:t>
      </w:r>
      <w:r w:rsidR="00113FA8">
        <w:t xml:space="preserve">effectiveness </w:t>
      </w:r>
      <w:r w:rsidR="00FC4446">
        <w:t>over time</w:t>
      </w:r>
      <w:r w:rsidR="00D76C13">
        <w:t>. Mergers will be routinely assessed for their possible impact on consumer prices. This information will be provided in an annual report on merger risks</w:t>
      </w:r>
      <w:r w:rsidR="001E29B0">
        <w:t xml:space="preserve"> to competition</w:t>
      </w:r>
      <w:r w:rsidR="00D76C13">
        <w:t xml:space="preserve">. </w:t>
      </w:r>
    </w:p>
    <w:p w14:paraId="497524AD" w14:textId="5FD1518E" w:rsidR="00156F0D" w:rsidRDefault="00156F0D" w:rsidP="00156F0D">
      <w:r>
        <w:t xml:space="preserve">Feedback on the proposed thresholds will inform advice to Government on </w:t>
      </w:r>
      <w:r w:rsidR="00146601">
        <w:t xml:space="preserve">the </w:t>
      </w:r>
      <w:r>
        <w:t xml:space="preserve">notification thresholds in the new merger control system. Once the Government has settled its preferred approach, further consultation will be undertaken on the </w:t>
      </w:r>
      <w:r w:rsidR="003043A3">
        <w:t xml:space="preserve">relevant </w:t>
      </w:r>
      <w:r>
        <w:t>subordinate legislation.</w:t>
      </w:r>
      <w:r>
        <w:br w:type="page"/>
      </w:r>
    </w:p>
    <w:p w14:paraId="719A0B28" w14:textId="1B43AB0B" w:rsidR="00156F0D" w:rsidRDefault="00156F0D" w:rsidP="00156F0D">
      <w:pPr>
        <w:pStyle w:val="Heading1"/>
      </w:pPr>
      <w:bookmarkStart w:id="16" w:name="_Toc176443936"/>
      <w:r>
        <w:lastRenderedPageBreak/>
        <w:t>Targeted mandatory notification thresholds</w:t>
      </w:r>
      <w:bookmarkEnd w:id="16"/>
    </w:p>
    <w:p w14:paraId="6C1FC810" w14:textId="14FAAB37" w:rsidR="00156F0D" w:rsidRDefault="00156F0D" w:rsidP="00156F0D">
      <w:r w:rsidRPr="00AA037F">
        <w:t>The purpose of merger control is to identify and prevent the prospective anti-competitive effects of mergers</w:t>
      </w:r>
      <w:r>
        <w:t xml:space="preserve">. In the new mandatory merger control system, the notification thresholds will ensure the ACCC, as the administrative decision-maker, </w:t>
      </w:r>
      <w:r w:rsidR="00CD6750">
        <w:t xml:space="preserve">becomes </w:t>
      </w:r>
      <w:r w:rsidR="009F4F82">
        <w:t>aware</w:t>
      </w:r>
      <w:r>
        <w:t xml:space="preserve"> of th</w:t>
      </w:r>
      <w:r w:rsidR="006F62FD">
        <w:t>e small number of</w:t>
      </w:r>
      <w:r>
        <w:t xml:space="preserve"> </w:t>
      </w:r>
      <w:r w:rsidR="009D7073">
        <w:t xml:space="preserve">anti-competitive </w:t>
      </w:r>
      <w:r w:rsidR="00695778">
        <w:t xml:space="preserve">mergers </w:t>
      </w:r>
      <w:r>
        <w:t xml:space="preserve">likely to </w:t>
      </w:r>
      <w:r w:rsidR="009D7073">
        <w:t>harm</w:t>
      </w:r>
      <w:r>
        <w:t xml:space="preserve"> Australian consumers</w:t>
      </w:r>
      <w:r w:rsidR="00CD6750">
        <w:t xml:space="preserve"> before those </w:t>
      </w:r>
      <w:r w:rsidR="00695778">
        <w:t xml:space="preserve">mergers </w:t>
      </w:r>
      <w:r w:rsidR="006D5143">
        <w:t>are completed</w:t>
      </w:r>
      <w:r w:rsidR="009D7073">
        <w:t>.</w:t>
      </w:r>
      <w:r>
        <w:t xml:space="preserve"> </w:t>
      </w:r>
      <w:r w:rsidR="009020A3">
        <w:t xml:space="preserve">The </w:t>
      </w:r>
      <w:r w:rsidR="008857EC">
        <w:t>notification thresholds do</w:t>
      </w:r>
      <w:r w:rsidR="00791F5D">
        <w:t xml:space="preserve"> not change </w:t>
      </w:r>
      <w:r w:rsidR="00180EAE">
        <w:t xml:space="preserve">what </w:t>
      </w:r>
      <w:r w:rsidR="00181914">
        <w:t xml:space="preserve">may be </w:t>
      </w:r>
      <w:r w:rsidR="00180EAE">
        <w:t>a permissible merger</w:t>
      </w:r>
      <w:r w:rsidR="00181914">
        <w:t xml:space="preserve"> or one </w:t>
      </w:r>
      <w:r w:rsidR="00D73E1A">
        <w:t xml:space="preserve">that </w:t>
      </w:r>
      <w:r w:rsidR="00181914">
        <w:t>might be stopped</w:t>
      </w:r>
      <w:r w:rsidR="00180EAE">
        <w:t>, but rather focuses on what mergers need to be notified to the ACCC for review.</w:t>
      </w:r>
    </w:p>
    <w:p w14:paraId="053956E2" w14:textId="21D2FC17" w:rsidR="009A3BEB" w:rsidRDefault="009A3BEB" w:rsidP="009A3BEB">
      <w:r>
        <w:t>A</w:t>
      </w:r>
      <w:r w:rsidRPr="004A7943">
        <w:t xml:space="preserve">ustralia’s merger control </w:t>
      </w:r>
      <w:r>
        <w:t>system, consistent with good regulatory design principles, needs to be risk</w:t>
      </w:r>
      <w:r>
        <w:noBreakHyphen/>
        <w:t>based. The proposed thresholds are based on risk factors that indicate a merger is more likely to have an appreciable effect on competition. The thresholds will determine which mergers must be notified to the ACCC, and the ACCC will undertake an assessment of whether the merger is likely to substantially lessen competition.</w:t>
      </w:r>
      <w:r w:rsidRPr="006C617E">
        <w:rPr>
          <w:rStyle w:val="FootnoteReference"/>
          <w:vertAlign w:val="superscript"/>
        </w:rPr>
        <w:footnoteReference w:id="4"/>
      </w:r>
      <w:r>
        <w:t xml:space="preserve"> </w:t>
      </w:r>
    </w:p>
    <w:p w14:paraId="553019A0" w14:textId="443C7F20" w:rsidR="00692792" w:rsidRDefault="00692792" w:rsidP="00692792">
      <w:r>
        <w:t xml:space="preserve">Focusing on acquisitions that give rise to the capacity to control or influence the competitive behaviour of the target </w:t>
      </w:r>
      <w:r w:rsidR="00DC37E1">
        <w:t>business</w:t>
      </w:r>
      <w:r>
        <w:t xml:space="preserve"> can act as a further filter in a merger control system.</w:t>
      </w:r>
      <w:r w:rsidR="008D4C69" w:rsidRPr="00533FC7">
        <w:rPr>
          <w:rStyle w:val="FootnoteReference"/>
          <w:vertAlign w:val="superscript"/>
        </w:rPr>
        <w:footnoteReference w:id="5"/>
      </w:r>
      <w:r>
        <w:t xml:space="preserve"> Internationally, several jurisdictions use the concept of ‘control’ to determine when a merger or acquisition is within the scope of its merger rules.</w:t>
      </w:r>
      <w:r w:rsidR="003F6E20">
        <w:t xml:space="preserve"> </w:t>
      </w:r>
      <w:r>
        <w:t>‘Control’ can be defined in different ways, such as the possibility of exerting decisive influence over the strategic commercial decisions of the target in the European Union,</w:t>
      </w:r>
      <w:r w:rsidRPr="00FD6BEB" w:rsidDel="00FB31BF">
        <w:rPr>
          <w:rStyle w:val="FootnoteReference"/>
          <w:vertAlign w:val="superscript"/>
        </w:rPr>
        <w:footnoteReference w:id="6"/>
      </w:r>
      <w:r w:rsidRPr="000538CD">
        <w:rPr>
          <w:vertAlign w:val="superscript"/>
        </w:rPr>
        <w:t xml:space="preserve"> </w:t>
      </w:r>
      <w:r>
        <w:t>or ability to materially influence the policy of the target in the United Kingdom and South Africa.</w:t>
      </w:r>
      <w:r w:rsidRPr="00FD6BEB" w:rsidDel="007561AA">
        <w:rPr>
          <w:rStyle w:val="FootnoteReference"/>
          <w:vertAlign w:val="superscript"/>
        </w:rPr>
        <w:footnoteReference w:id="7"/>
      </w:r>
      <w:r>
        <w:t xml:space="preserve"> In Australia, the concept of ‘control’ currently exists in various contexts, including in corporations law,</w:t>
      </w:r>
      <w:r w:rsidRPr="00FD6BEB" w:rsidDel="00717578">
        <w:rPr>
          <w:rStyle w:val="FootnoteReference"/>
          <w:vertAlign w:val="superscript"/>
        </w:rPr>
        <w:footnoteReference w:id="8"/>
      </w:r>
      <w:r>
        <w:t xml:space="preserve"> foreign investment,</w:t>
      </w:r>
      <w:r w:rsidRPr="00FD6BEB" w:rsidDel="00717578">
        <w:rPr>
          <w:rStyle w:val="FootnoteReference"/>
          <w:vertAlign w:val="superscript"/>
        </w:rPr>
        <w:footnoteReference w:id="9"/>
      </w:r>
      <w:r w:rsidRPr="000538CD">
        <w:rPr>
          <w:vertAlign w:val="superscript"/>
        </w:rPr>
        <w:t xml:space="preserve"> </w:t>
      </w:r>
      <w:r>
        <w:t>taxation,</w:t>
      </w:r>
      <w:r w:rsidRPr="00FD6BEB" w:rsidDel="00717578">
        <w:rPr>
          <w:rStyle w:val="FootnoteReference"/>
          <w:vertAlign w:val="superscript"/>
        </w:rPr>
        <w:footnoteReference w:id="10"/>
      </w:r>
      <w:r>
        <w:t xml:space="preserve"> and media control rules around broadcasting licences and newspapers.</w:t>
      </w:r>
      <w:r w:rsidRPr="009F4BAC" w:rsidDel="00717578">
        <w:rPr>
          <w:rStyle w:val="FootnoteReference"/>
          <w:vertAlign w:val="superscript"/>
        </w:rPr>
        <w:footnoteReference w:id="11"/>
      </w:r>
      <w:r w:rsidRPr="005713AA">
        <w:rPr>
          <w:rStyle w:val="FootnoteReference"/>
        </w:rPr>
        <w:t xml:space="preserve"> </w:t>
      </w:r>
      <w:r w:rsidR="008D690F">
        <w:t xml:space="preserve">Under the </w:t>
      </w:r>
      <w:r w:rsidR="00144FA6">
        <w:t xml:space="preserve">new merger system, ‘control’ is </w:t>
      </w:r>
      <w:r w:rsidR="00514F09">
        <w:t>proposed to be defined as the</w:t>
      </w:r>
      <w:r w:rsidR="00572D11">
        <w:t xml:space="preserve"> </w:t>
      </w:r>
      <w:r w:rsidR="006D78AE" w:rsidRPr="006D78AE">
        <w:t>capacity to directly or indirectly determine the policy of the body corporate in relation to one or more matters</w:t>
      </w:r>
      <w:r w:rsidR="00057E32">
        <w:t>.</w:t>
      </w:r>
      <w:r w:rsidR="00057E32" w:rsidRPr="005713AA">
        <w:rPr>
          <w:rStyle w:val="FootnoteReference"/>
          <w:vertAlign w:val="superscript"/>
        </w:rPr>
        <w:footnoteReference w:id="12"/>
      </w:r>
    </w:p>
    <w:p w14:paraId="3153F82D" w14:textId="0A7B40CD" w:rsidR="00692792" w:rsidRDefault="00692792" w:rsidP="00692792">
      <w:r>
        <w:t>In some situations, the concept of ‘control’ is accompanied with percentage-based thresholds based on the size of the interest or voting rights to increase clarity.</w:t>
      </w:r>
      <w:r w:rsidRPr="00533FC7" w:rsidDel="008D4C69">
        <w:rPr>
          <w:rStyle w:val="FootnoteReference"/>
          <w:vertAlign w:val="superscript"/>
        </w:rPr>
        <w:footnoteReference w:id="13"/>
      </w:r>
      <w:r>
        <w:t xml:space="preserve"> Changes in the </w:t>
      </w:r>
      <w:r w:rsidR="00FE7CA9">
        <w:t xml:space="preserve">nature or </w:t>
      </w:r>
      <w:r>
        <w:t xml:space="preserve">type of control </w:t>
      </w:r>
      <w:r>
        <w:lastRenderedPageBreak/>
        <w:t xml:space="preserve">(e.g. from sole to joint control, and vice versa) </w:t>
      </w:r>
      <w:r w:rsidR="00FE7CA9">
        <w:t>are also typically</w:t>
      </w:r>
      <w:r>
        <w:t xml:space="preserve"> caught,</w:t>
      </w:r>
      <w:r w:rsidRPr="00533FC7" w:rsidDel="008D4C69">
        <w:rPr>
          <w:rStyle w:val="FootnoteReference"/>
          <w:vertAlign w:val="superscript"/>
        </w:rPr>
        <w:footnoteReference w:id="14"/>
      </w:r>
      <w:r>
        <w:t xml:space="preserve"> recognising </w:t>
      </w:r>
      <w:r w:rsidR="00FE7CA9">
        <w:t xml:space="preserve">the different incentives and </w:t>
      </w:r>
      <w:r w:rsidR="00086DAD">
        <w:t>types</w:t>
      </w:r>
      <w:r w:rsidR="00EE7C07">
        <w:t xml:space="preserve"> of </w:t>
      </w:r>
      <w:r w:rsidR="0016178C">
        <w:t>control</w:t>
      </w:r>
      <w:r>
        <w:t xml:space="preserve">. </w:t>
      </w:r>
    </w:p>
    <w:p w14:paraId="0844F396" w14:textId="77777777" w:rsidR="00145E66" w:rsidRDefault="00145E66" w:rsidP="00145E66">
      <w:r>
        <w:t>Treasury envisages that a balanced approach to ‘control’ or similar concepts aimed at targeting mergers of interest could be tailored to provide for exclusions of certain types of transactions, including those involving minority share acquisitions of listed companies, which are not likely to raise competition concerns.</w:t>
      </w:r>
    </w:p>
    <w:p w14:paraId="23BA1F82" w14:textId="71757FF4" w:rsidR="00EF1987" w:rsidRDefault="00156F0D" w:rsidP="00EF1987">
      <w:r>
        <w:t>For an ‘acquisition’ (as defined in the law) that exceeds the notification thresholds, notifying the ACCC will be compulsory, with penalties for failure to notify.</w:t>
      </w:r>
      <w:r w:rsidRPr="00C8215E">
        <w:rPr>
          <w:rStyle w:val="FootnoteReference"/>
          <w:vertAlign w:val="superscript"/>
        </w:rPr>
        <w:footnoteReference w:id="15"/>
      </w:r>
      <w:r>
        <w:t xml:space="preserve"> Penalties incentivise merger parties to comply with their obligations and </w:t>
      </w:r>
      <w:r w:rsidR="00B76511">
        <w:t xml:space="preserve">will </w:t>
      </w:r>
      <w:r>
        <w:t xml:space="preserve">deter parties from proceeding without notifying. </w:t>
      </w:r>
      <w:r w:rsidR="0021771F">
        <w:t xml:space="preserve">Penalties </w:t>
      </w:r>
      <w:r w:rsidR="00B76511">
        <w:t xml:space="preserve">may </w:t>
      </w:r>
      <w:r w:rsidR="0021771F">
        <w:t>also</w:t>
      </w:r>
      <w:r w:rsidR="00E02330">
        <w:t xml:space="preserve"> </w:t>
      </w:r>
      <w:r w:rsidR="00C6452A">
        <w:t>incentivise</w:t>
      </w:r>
      <w:r w:rsidR="00BA4CDE">
        <w:t xml:space="preserve"> businesses</w:t>
      </w:r>
      <w:r w:rsidR="00E02330">
        <w:t xml:space="preserve"> to voluntarily notify, depending </w:t>
      </w:r>
      <w:r w:rsidR="00BA4CDE">
        <w:t xml:space="preserve">on </w:t>
      </w:r>
      <w:r w:rsidR="00C10F94">
        <w:t xml:space="preserve">the </w:t>
      </w:r>
      <w:r w:rsidR="00460337">
        <w:t xml:space="preserve">consequences </w:t>
      </w:r>
      <w:r w:rsidR="00C10F94">
        <w:t>of failing</w:t>
      </w:r>
      <w:r w:rsidR="00460337">
        <w:t xml:space="preserve"> to notify</w:t>
      </w:r>
      <w:r w:rsidR="00BA4CDE">
        <w:t xml:space="preserve">. </w:t>
      </w:r>
      <w:r w:rsidR="00966BBE">
        <w:t xml:space="preserve">In particular, </w:t>
      </w:r>
      <w:r w:rsidR="00EF1987">
        <w:t>an unnotified acquisition that is required to be notified</w:t>
      </w:r>
      <w:r w:rsidR="00966BBE">
        <w:t xml:space="preserve"> to the ACCC</w:t>
      </w:r>
      <w:r w:rsidR="00EF1987">
        <w:t xml:space="preserve"> will be void in law. For this reason, there </w:t>
      </w:r>
      <w:r w:rsidR="00C10F94">
        <w:t xml:space="preserve">will be </w:t>
      </w:r>
      <w:r w:rsidR="00EF1987">
        <w:t xml:space="preserve">a process for businesses who are uncertain about whether they need to notify. </w:t>
      </w:r>
    </w:p>
    <w:p w14:paraId="735C8C50" w14:textId="585BB7BE" w:rsidR="006C69AC" w:rsidRDefault="006C69AC" w:rsidP="006C69AC">
      <w:r>
        <w:t>In the new system, clear and u</w:t>
      </w:r>
      <w:r w:rsidRPr="00BA2F7B">
        <w:t>pfront information requirements</w:t>
      </w:r>
      <w:r>
        <w:t xml:space="preserve"> calibrated to the merger’s likely competition concerns will enable the ACCC to </w:t>
      </w:r>
      <w:r w:rsidRPr="00595786">
        <w:t>efficien</w:t>
      </w:r>
      <w:r>
        <w:t>t</w:t>
      </w:r>
      <w:r w:rsidRPr="00595786">
        <w:t>ly</w:t>
      </w:r>
      <w:r>
        <w:t xml:space="preserve"> and effectively differentiate benign mergers from those of concern. </w:t>
      </w:r>
      <w:r w:rsidRPr="00595786">
        <w:t xml:space="preserve">Mergers may proceed within 30 working days </w:t>
      </w:r>
      <w:r>
        <w:t xml:space="preserve">unless the merger raises </w:t>
      </w:r>
      <w:r w:rsidRPr="00595786">
        <w:t>competition concerns</w:t>
      </w:r>
      <w:r>
        <w:t>. There will also be</w:t>
      </w:r>
      <w:r w:rsidRPr="00595786">
        <w:t xml:space="preserve"> an expedited, ‘fast-track’ determination available if no concerns are identified by the ACCC after 15 </w:t>
      </w:r>
      <w:r>
        <w:t>business</w:t>
      </w:r>
      <w:r w:rsidRPr="00595786">
        <w:t xml:space="preserve"> days.</w:t>
      </w:r>
      <w:r w:rsidRPr="00B16943">
        <w:rPr>
          <w:rStyle w:val="FootnoteReference"/>
          <w:vertAlign w:val="superscript"/>
        </w:rPr>
        <w:footnoteReference w:id="16"/>
      </w:r>
      <w:r w:rsidRPr="00595786">
        <w:t xml:space="preserve"> </w:t>
      </w:r>
      <w:r>
        <w:t>The process will be quick and simple for the vast majority of mergers that are notified.</w:t>
      </w:r>
      <w:r w:rsidRPr="008C7B43">
        <w:rPr>
          <w:rStyle w:val="FootnoteReference"/>
          <w:vertAlign w:val="superscript"/>
        </w:rPr>
        <w:footnoteReference w:id="17"/>
      </w:r>
      <w:r w:rsidRPr="00A05E25">
        <w:t xml:space="preserve"> </w:t>
      </w:r>
      <w:r w:rsidRPr="00595786">
        <w:t xml:space="preserve">This </w:t>
      </w:r>
      <w:r>
        <w:t xml:space="preserve">also </w:t>
      </w:r>
      <w:r w:rsidRPr="00595786">
        <w:t xml:space="preserve">ensures </w:t>
      </w:r>
      <w:r>
        <w:t xml:space="preserve">the ACCC’s </w:t>
      </w:r>
      <w:r w:rsidRPr="00595786">
        <w:t xml:space="preserve">resources can be focused on analysing mergers </w:t>
      </w:r>
      <w:r>
        <w:t xml:space="preserve">that are </w:t>
      </w:r>
      <w:r w:rsidRPr="00595786">
        <w:t>more likely to harm competition</w:t>
      </w:r>
      <w:r>
        <w:t xml:space="preserve"> and consumers</w:t>
      </w:r>
      <w:r w:rsidRPr="00595786">
        <w:t xml:space="preserve">. </w:t>
      </w:r>
    </w:p>
    <w:p w14:paraId="77B3D812" w14:textId="08A5FB45" w:rsidR="00156F0D" w:rsidRPr="00595786" w:rsidRDefault="00156F0D" w:rsidP="00156F0D">
      <w:r>
        <w:t>Acquisitions below the notification thresholds may voluntarily notif</w:t>
      </w:r>
      <w:r w:rsidR="00A61260">
        <w:t>y</w:t>
      </w:r>
      <w:r>
        <w:t xml:space="preserve"> and opt into the system, allowing businesses to obtain regulatory certainty. Businesses </w:t>
      </w:r>
      <w:r w:rsidR="006C69AC">
        <w:t>could</w:t>
      </w:r>
      <w:r>
        <w:t xml:space="preserve"> also be able to seek a ‘notification waiver’ from the ACCC</w:t>
      </w:r>
      <w:r w:rsidR="00551F8C">
        <w:t>, including</w:t>
      </w:r>
      <w:r>
        <w:t xml:space="preserve"> if </w:t>
      </w:r>
      <w:r w:rsidR="00DE5A52">
        <w:t>there is uncertainty as to whether the notification threshold</w:t>
      </w:r>
      <w:r w:rsidR="009B3080">
        <w:t>s</w:t>
      </w:r>
      <w:r w:rsidR="00DE5A52">
        <w:t xml:space="preserve"> </w:t>
      </w:r>
      <w:r w:rsidR="009B3080">
        <w:t>are</w:t>
      </w:r>
      <w:r w:rsidR="00DE5A52">
        <w:t xml:space="preserve"> met</w:t>
      </w:r>
      <w:r w:rsidR="00F138F3">
        <w:t>.</w:t>
      </w:r>
    </w:p>
    <w:p w14:paraId="50EE3DE6" w14:textId="33862C87" w:rsidR="00156F0D" w:rsidRDefault="00156F0D" w:rsidP="00156F0D">
      <w:pPr>
        <w:sectPr w:rsidR="00156F0D" w:rsidSect="00156F0D">
          <w:pgSz w:w="11906" w:h="16838" w:code="9"/>
          <w:pgMar w:top="1843" w:right="1417" w:bottom="1417" w:left="1417" w:header="709" w:footer="709" w:gutter="0"/>
          <w:cols w:space="708"/>
          <w:docGrid w:linePitch="360"/>
        </w:sectPr>
      </w:pPr>
      <w:r>
        <w:t xml:space="preserve">Notification thresholds </w:t>
      </w:r>
      <w:r w:rsidR="0080036F">
        <w:t xml:space="preserve">will </w:t>
      </w:r>
      <w:r>
        <w:t xml:space="preserve">assist in identifying </w:t>
      </w:r>
      <w:r w:rsidR="001F65BC">
        <w:t xml:space="preserve">acquisitions </w:t>
      </w:r>
      <w:r>
        <w:t xml:space="preserve">that </w:t>
      </w:r>
      <w:r w:rsidR="0080036F">
        <w:t>are</w:t>
      </w:r>
      <w:r>
        <w:t xml:space="preserve"> more likely to impact competition. However, </w:t>
      </w:r>
      <w:r w:rsidR="0080036F">
        <w:t xml:space="preserve">the </w:t>
      </w:r>
      <w:r>
        <w:t xml:space="preserve">notification thresholds should not be treated as a definitive yardstick </w:t>
      </w:r>
      <w:r w:rsidR="001663AC">
        <w:t xml:space="preserve">because there may be </w:t>
      </w:r>
      <w:r w:rsidR="001F65BC">
        <w:t xml:space="preserve">acquisitions </w:t>
      </w:r>
      <w:r w:rsidR="00D73E1A">
        <w:t xml:space="preserve">that </w:t>
      </w:r>
      <w:r w:rsidR="001663AC">
        <w:t xml:space="preserve">fall </w:t>
      </w:r>
      <w:r>
        <w:t>below the threshold</w:t>
      </w:r>
      <w:r w:rsidR="00A9392A">
        <w:t>s</w:t>
      </w:r>
      <w:r>
        <w:t xml:space="preserve"> </w:t>
      </w:r>
      <w:r w:rsidR="00A9392A">
        <w:t xml:space="preserve">that </w:t>
      </w:r>
      <w:r w:rsidR="00E054DA">
        <w:t>could</w:t>
      </w:r>
      <w:r w:rsidDel="006F647B">
        <w:t xml:space="preserve"> </w:t>
      </w:r>
      <w:r>
        <w:t>substantially lessen competition.</w:t>
      </w:r>
      <w:r w:rsidR="00ED3CFA" w:rsidRPr="00E72E72">
        <w:rPr>
          <w:rStyle w:val="FootnoteReference"/>
          <w:vertAlign w:val="superscript"/>
        </w:rPr>
        <w:footnoteReference w:id="18"/>
      </w:r>
      <w:r>
        <w:t xml:space="preserve"> </w:t>
      </w:r>
    </w:p>
    <w:p w14:paraId="29F8E514" w14:textId="60F17B79" w:rsidR="00156F0D" w:rsidRDefault="00156F0D" w:rsidP="00156F0D">
      <w:pPr>
        <w:pStyle w:val="Heading1"/>
      </w:pPr>
      <w:bookmarkStart w:id="17" w:name="_Toc176443937"/>
      <w:r>
        <w:lastRenderedPageBreak/>
        <w:t>A risk-based approach to designing notification thresholds</w:t>
      </w:r>
      <w:bookmarkEnd w:id="17"/>
    </w:p>
    <w:p w14:paraId="27AB00F3" w14:textId="5438DFBD" w:rsidR="00EE712C" w:rsidRDefault="00156F0D" w:rsidP="00156F0D">
      <w:r w:rsidRPr="00AF2E50">
        <w:t xml:space="preserve">The new </w:t>
      </w:r>
      <w:r>
        <w:t>mandatory</w:t>
      </w:r>
      <w:r w:rsidRPr="00AF2E50">
        <w:t xml:space="preserve"> </w:t>
      </w:r>
      <w:r>
        <w:t xml:space="preserve">merger control </w:t>
      </w:r>
      <w:r w:rsidRPr="00AF2E50">
        <w:t xml:space="preserve">system </w:t>
      </w:r>
      <w:r>
        <w:t>in Australia</w:t>
      </w:r>
      <w:r w:rsidRPr="00AF2E50">
        <w:t xml:space="preserve"> </w:t>
      </w:r>
      <w:r>
        <w:t>will be</w:t>
      </w:r>
      <w:r w:rsidRPr="00AF2E50">
        <w:t xml:space="preserve"> risk</w:t>
      </w:r>
      <w:r w:rsidR="008D1E18">
        <w:t xml:space="preserve"> </w:t>
      </w:r>
      <w:r w:rsidRPr="00AF2E50">
        <w:t>based</w:t>
      </w:r>
      <w:r w:rsidR="005A5563">
        <w:t>. It will be</w:t>
      </w:r>
      <w:r>
        <w:t xml:space="preserve"> focused on </w:t>
      </w:r>
      <w:r w:rsidR="005A5563">
        <w:t xml:space="preserve">those </w:t>
      </w:r>
      <w:r>
        <w:t>acqu</w:t>
      </w:r>
      <w:r w:rsidR="007A1084">
        <w:t>i</w:t>
      </w:r>
      <w:r>
        <w:t>sitions</w:t>
      </w:r>
      <w:r w:rsidRPr="00AF2E50">
        <w:t xml:space="preserve"> </w:t>
      </w:r>
      <w:r>
        <w:t xml:space="preserve">that are </w:t>
      </w:r>
      <w:r w:rsidRPr="00AF2E50">
        <w:t>most likely to harm competition and</w:t>
      </w:r>
      <w:r w:rsidR="005A5563">
        <w:t>/or</w:t>
      </w:r>
      <w:r w:rsidRPr="00AF2E50">
        <w:t xml:space="preserve"> consumers</w:t>
      </w:r>
      <w:r>
        <w:t>. These acquisitions will be</w:t>
      </w:r>
      <w:r w:rsidRPr="00AF2E50">
        <w:t xml:space="preserve"> </w:t>
      </w:r>
      <w:r>
        <w:t>made notifiable</w:t>
      </w:r>
      <w:r w:rsidRPr="00AF2E50">
        <w:t xml:space="preserve"> </w:t>
      </w:r>
      <w:r>
        <w:t>through</w:t>
      </w:r>
      <w:r w:rsidRPr="00AF2E50">
        <w:t xml:space="preserve"> a combination of monetary</w:t>
      </w:r>
      <w:r w:rsidR="00E1308E">
        <w:t xml:space="preserve"> and</w:t>
      </w:r>
      <w:r w:rsidRPr="00AF2E50">
        <w:t xml:space="preserve"> market concentration</w:t>
      </w:r>
      <w:r w:rsidR="00E1308E">
        <w:t xml:space="preserve"> thresholds, as well as additional </w:t>
      </w:r>
      <w:r w:rsidR="00FF2125">
        <w:t>targeted notification requirements</w:t>
      </w:r>
      <w:r w:rsidR="00FF2125" w:rsidRPr="00AF2E50">
        <w:t xml:space="preserve"> </w:t>
      </w:r>
      <w:r w:rsidR="00E1308E">
        <w:t xml:space="preserve">set by </w:t>
      </w:r>
      <w:r w:rsidR="00223778">
        <w:t xml:space="preserve">a </w:t>
      </w:r>
      <w:r w:rsidR="00D4019F">
        <w:t xml:space="preserve">Treasury </w:t>
      </w:r>
      <w:r w:rsidR="00223778">
        <w:t>Minister</w:t>
      </w:r>
      <w:r>
        <w:t xml:space="preserve">. </w:t>
      </w:r>
    </w:p>
    <w:p w14:paraId="4C78EB02" w14:textId="14D1DF7C" w:rsidR="00156F0D" w:rsidRPr="00AF2E50" w:rsidRDefault="00434208" w:rsidP="00156F0D">
      <w:r>
        <w:t xml:space="preserve">While the proposed thresholds </w:t>
      </w:r>
      <w:r w:rsidR="005F748E">
        <w:t xml:space="preserve">are based on the best data available, </w:t>
      </w:r>
      <w:r w:rsidR="00156F0D">
        <w:t>the OECD</w:t>
      </w:r>
      <w:r w:rsidR="00E52A1E">
        <w:t xml:space="preserve"> notes that </w:t>
      </w:r>
      <w:r w:rsidR="00156F0D">
        <w:t>‘no jurisdiction can predict with full certainty whether the threshold level is set at an optimal level from the first time’.</w:t>
      </w:r>
      <w:r w:rsidR="00156F0D" w:rsidRPr="007409E0">
        <w:rPr>
          <w:rStyle w:val="FootnoteReference"/>
          <w:vertAlign w:val="superscript"/>
        </w:rPr>
        <w:footnoteReference w:id="19"/>
      </w:r>
      <w:r w:rsidR="00156F0D">
        <w:t xml:space="preserve"> A statutory review, designed and supported by the Australian Centre for Evaluation, will take place three years from commencement of the new system to evaluate the functioning of the system – including the notification thresholds. This will be supported by annual ACCC reporting on merger activity, ex</w:t>
      </w:r>
      <w:r w:rsidR="000F66BE">
        <w:noBreakHyphen/>
      </w:r>
      <w:r w:rsidR="00156F0D">
        <w:t>post merger analysis and data analytics.</w:t>
      </w:r>
    </w:p>
    <w:p w14:paraId="7CA8E209" w14:textId="34C87EB5" w:rsidR="00156F0D" w:rsidRDefault="00156F0D" w:rsidP="00156F0D">
      <w:pPr>
        <w:pStyle w:val="Heading2"/>
      </w:pPr>
      <w:bookmarkStart w:id="18" w:name="_Toc176443938"/>
      <w:r>
        <w:t>The thresholds should be underpinned by clear objectives</w:t>
      </w:r>
      <w:bookmarkEnd w:id="18"/>
    </w:p>
    <w:p w14:paraId="55DC9526" w14:textId="5DDD07A6" w:rsidR="00156F0D" w:rsidRPr="00AF2E50" w:rsidRDefault="00156F0D" w:rsidP="00156F0D">
      <w:r>
        <w:t>T</w:t>
      </w:r>
      <w:r w:rsidRPr="00AF2E50">
        <w:t>he</w:t>
      </w:r>
      <w:r>
        <w:t xml:space="preserve"> proposed</w:t>
      </w:r>
      <w:r w:rsidRPr="00AF2E50">
        <w:t xml:space="preserve"> thresholds </w:t>
      </w:r>
      <w:r>
        <w:t>outlined in this consultation paper</w:t>
      </w:r>
      <w:r w:rsidRPr="00AF2E50">
        <w:t xml:space="preserve"> have been broadly designed to </w:t>
      </w:r>
      <w:r>
        <w:t>achieve the following objectives, consistent with a risk</w:t>
      </w:r>
      <w:r>
        <w:noBreakHyphen/>
        <w:t>based and targeted approach.</w:t>
      </w:r>
      <w:r w:rsidRPr="0051632B">
        <w:rPr>
          <w:rStyle w:val="FootnoteReference"/>
          <w:vertAlign w:val="superscript"/>
        </w:rPr>
        <w:footnoteReference w:id="20"/>
      </w:r>
    </w:p>
    <w:p w14:paraId="5DB3F93F" w14:textId="10963F0D" w:rsidR="00156F0D" w:rsidRPr="00816F60" w:rsidRDefault="00156F0D" w:rsidP="00156F0D">
      <w:pPr>
        <w:rPr>
          <w:rStyle w:val="Strong"/>
        </w:rPr>
      </w:pPr>
      <w:r>
        <w:rPr>
          <w:rStyle w:val="Strong"/>
        </w:rPr>
        <w:t>Capturing anti</w:t>
      </w:r>
      <w:r>
        <w:rPr>
          <w:rStyle w:val="Strong"/>
        </w:rPr>
        <w:noBreakHyphen/>
        <w:t>competitive and economically significant acquisitions, including serial acquisitions</w:t>
      </w:r>
    </w:p>
    <w:p w14:paraId="4581FB99" w14:textId="6B112681" w:rsidR="00156F0D" w:rsidRPr="0025223D" w:rsidRDefault="00156F0D" w:rsidP="00156F0D">
      <w:r>
        <w:t xml:space="preserve">While the size of a merger is not a perfect indicator of its potential effects on competition, acquisitions of businesses or assets by medium to very large businesses are more economically significant in size and therefore could cause </w:t>
      </w:r>
      <w:r w:rsidR="00BA68FD">
        <w:t>greater</w:t>
      </w:r>
      <w:r>
        <w:t xml:space="preserve"> potential harm to </w:t>
      </w:r>
      <w:r w:rsidR="00B756D8">
        <w:t>more</w:t>
      </w:r>
      <w:r>
        <w:t xml:space="preserve"> consumers. Larger businesses may also have greater financial power</w:t>
      </w:r>
      <w:r w:rsidR="00850EC7">
        <w:t>.</w:t>
      </w:r>
      <w:r>
        <w:t xml:space="preserve"> </w:t>
      </w:r>
      <w:r w:rsidR="00850EC7">
        <w:t xml:space="preserve">While this </w:t>
      </w:r>
      <w:r w:rsidRPr="0025223D">
        <w:t xml:space="preserve">is not necessarily the same as market power, </w:t>
      </w:r>
      <w:r w:rsidR="00850EC7">
        <w:t xml:space="preserve">it </w:t>
      </w:r>
      <w:r w:rsidRPr="0025223D">
        <w:t xml:space="preserve">may be indicative of their capacity to set </w:t>
      </w:r>
      <w:r w:rsidR="008079C8">
        <w:t xml:space="preserve">anti-competitive </w:t>
      </w:r>
      <w:r w:rsidRPr="0025223D">
        <w:t>prices or act</w:t>
      </w:r>
      <w:r>
        <w:t xml:space="preserve"> in an </w:t>
      </w:r>
      <w:r w:rsidR="008079C8">
        <w:t xml:space="preserve">otherwise </w:t>
      </w:r>
      <w:r>
        <w:t xml:space="preserve">anti-competitive way that may not be financially sustainable for </w:t>
      </w:r>
      <w:r w:rsidR="00E03462">
        <w:t>smaller</w:t>
      </w:r>
      <w:r>
        <w:t xml:space="preserve"> businesses.</w:t>
      </w:r>
    </w:p>
    <w:p w14:paraId="14D17150" w14:textId="13418677" w:rsidR="00156F0D" w:rsidRPr="00187E6E" w:rsidRDefault="00156F0D" w:rsidP="00156F0D">
      <w:pPr>
        <w:rPr>
          <w:rStyle w:val="Strong"/>
          <w:b w:val="0"/>
          <w:bCs w:val="0"/>
        </w:rPr>
      </w:pPr>
      <w:r>
        <w:t>Th</w:t>
      </w:r>
      <w:r w:rsidR="00E90424">
        <w:t>e</w:t>
      </w:r>
      <w:r>
        <w:t>s</w:t>
      </w:r>
      <w:r w:rsidR="00D8181D">
        <w:t>e</w:t>
      </w:r>
      <w:r w:rsidR="00E90424">
        <w:t xml:space="preserve"> types of acquisitions </w:t>
      </w:r>
      <w:r w:rsidR="00D8181D">
        <w:t>have the potential to</w:t>
      </w:r>
      <w:r>
        <w:t xml:space="preserve"> cause</w:t>
      </w:r>
      <w:r w:rsidDel="00C03955">
        <w:t xml:space="preserve"> </w:t>
      </w:r>
      <w:r>
        <w:t xml:space="preserve">harm to consumers and other businesses, </w:t>
      </w:r>
      <w:r w:rsidR="00305169">
        <w:t xml:space="preserve">adversely </w:t>
      </w:r>
      <w:r>
        <w:t>impacting the cost of living</w:t>
      </w:r>
      <w:r w:rsidR="00305169">
        <w:t>. For example,</w:t>
      </w:r>
      <w:r w:rsidR="008A7621">
        <w:t xml:space="preserve"> </w:t>
      </w:r>
      <w:r>
        <w:t xml:space="preserve">a large acquirer may have greater reach or </w:t>
      </w:r>
      <w:r w:rsidR="00305169">
        <w:t xml:space="preserve">greater </w:t>
      </w:r>
      <w:r>
        <w:t>potential to</w:t>
      </w:r>
      <w:r w:rsidDel="00205EB6">
        <w:t xml:space="preserve"> </w:t>
      </w:r>
      <w:r w:rsidR="00305169">
        <w:t>affect</w:t>
      </w:r>
      <w:r>
        <w:t xml:space="preserve"> the prices of goods or services, quality and/or range.</w:t>
      </w:r>
      <w:r w:rsidRPr="00D92E41">
        <w:rPr>
          <w:rStyle w:val="Strong"/>
          <w:b w:val="0"/>
          <w:bCs w:val="0"/>
        </w:rPr>
        <w:t xml:space="preserve"> </w:t>
      </w:r>
      <w:r>
        <w:t xml:space="preserve">These risks are greater in markets that already have weakened levels of competition, such as in oligopolistic markets. </w:t>
      </w:r>
      <w:r>
        <w:rPr>
          <w:rStyle w:val="Strong"/>
          <w:b w:val="0"/>
          <w:bCs w:val="0"/>
        </w:rPr>
        <w:t xml:space="preserve">For example, </w:t>
      </w:r>
      <w:r w:rsidRPr="000836A5">
        <w:rPr>
          <w:rStyle w:val="Strong"/>
          <w:b w:val="0"/>
          <w:bCs w:val="0"/>
        </w:rPr>
        <w:t>Ashenfelter (2014)</w:t>
      </w:r>
      <w:r>
        <w:rPr>
          <w:rStyle w:val="Strong"/>
          <w:b w:val="0"/>
          <w:bCs w:val="0"/>
        </w:rPr>
        <w:t xml:space="preserve"> </w:t>
      </w:r>
      <w:r w:rsidRPr="000836A5">
        <w:rPr>
          <w:rStyle w:val="Strong"/>
          <w:b w:val="0"/>
          <w:bCs w:val="0"/>
        </w:rPr>
        <w:t xml:space="preserve">conducted a survey of case studies on the effect of horizontal mergers </w:t>
      </w:r>
      <w:r>
        <w:rPr>
          <w:rStyle w:val="Strong"/>
          <w:b w:val="0"/>
          <w:bCs w:val="0"/>
        </w:rPr>
        <w:t>in the United States</w:t>
      </w:r>
      <w:r w:rsidR="004A36DB">
        <w:rPr>
          <w:rStyle w:val="Strong"/>
          <w:b w:val="0"/>
          <w:bCs w:val="0"/>
        </w:rPr>
        <w:t>. O</w:t>
      </w:r>
      <w:r w:rsidR="004A36DB" w:rsidDel="008A7621">
        <w:rPr>
          <w:rStyle w:val="Strong"/>
          <w:b w:val="0"/>
          <w:bCs w:val="0"/>
        </w:rPr>
        <w:t>f</w:t>
      </w:r>
      <w:r w:rsidRPr="000836A5">
        <w:rPr>
          <w:rStyle w:val="Strong"/>
          <w:b w:val="0"/>
          <w:bCs w:val="0"/>
        </w:rPr>
        <w:t xml:space="preserve"> the 49 studies surveyed, </w:t>
      </w:r>
      <w:r w:rsidR="004A36DB">
        <w:rPr>
          <w:rStyle w:val="Strong"/>
          <w:b w:val="0"/>
          <w:bCs w:val="0"/>
        </w:rPr>
        <w:t>there was</w:t>
      </w:r>
      <w:r w:rsidRPr="000836A5">
        <w:rPr>
          <w:rStyle w:val="Strong"/>
          <w:b w:val="0"/>
          <w:bCs w:val="0"/>
        </w:rPr>
        <w:t xml:space="preserve"> evidence of merger-induced price increases</w:t>
      </w:r>
      <w:r w:rsidR="004A36DB">
        <w:rPr>
          <w:rStyle w:val="Strong"/>
          <w:b w:val="0"/>
          <w:bCs w:val="0"/>
        </w:rPr>
        <w:t xml:space="preserve"> in 36 of them</w:t>
      </w:r>
      <w:r w:rsidRPr="000836A5">
        <w:rPr>
          <w:rStyle w:val="Strong"/>
          <w:b w:val="0"/>
          <w:bCs w:val="0"/>
        </w:rPr>
        <w:t>. In particular,</w:t>
      </w:r>
      <w:r w:rsidRPr="006E39F2">
        <w:t xml:space="preserve"> </w:t>
      </w:r>
      <w:r w:rsidRPr="006E39F2">
        <w:rPr>
          <w:rStyle w:val="Strong"/>
          <w:b w:val="0"/>
          <w:bCs w:val="0"/>
        </w:rPr>
        <w:t>the</w:t>
      </w:r>
      <w:r w:rsidR="004A36DB">
        <w:rPr>
          <w:rStyle w:val="Strong"/>
          <w:b w:val="0"/>
          <w:bCs w:val="0"/>
        </w:rPr>
        <w:t xml:space="preserve"> researchers</w:t>
      </w:r>
      <w:r w:rsidRPr="006E39F2">
        <w:rPr>
          <w:rStyle w:val="Strong"/>
          <w:b w:val="0"/>
          <w:bCs w:val="0"/>
        </w:rPr>
        <w:t xml:space="preserve"> concluded the evidence </w:t>
      </w:r>
      <w:r w:rsidR="00894977">
        <w:rPr>
          <w:rStyle w:val="Strong"/>
          <w:b w:val="0"/>
          <w:bCs w:val="0"/>
        </w:rPr>
        <w:t>demonstrates</w:t>
      </w:r>
      <w:r w:rsidR="00894977" w:rsidRPr="006E39F2">
        <w:rPr>
          <w:rStyle w:val="Strong"/>
          <w:b w:val="0"/>
          <w:bCs w:val="0"/>
        </w:rPr>
        <w:t xml:space="preserve"> </w:t>
      </w:r>
      <w:r w:rsidRPr="006E39F2">
        <w:rPr>
          <w:rStyle w:val="Strong"/>
          <w:b w:val="0"/>
          <w:bCs w:val="0"/>
        </w:rPr>
        <w:t>mergers in oligopolistic markets can result in economically meaningful price increases</w:t>
      </w:r>
      <w:r>
        <w:rPr>
          <w:rStyle w:val="Strong"/>
          <w:b w:val="0"/>
          <w:bCs w:val="0"/>
        </w:rPr>
        <w:t>.</w:t>
      </w:r>
      <w:r w:rsidRPr="004641AE">
        <w:rPr>
          <w:rStyle w:val="FootnoteReference"/>
          <w:vertAlign w:val="superscript"/>
        </w:rPr>
        <w:footnoteReference w:id="21"/>
      </w:r>
    </w:p>
    <w:p w14:paraId="0E158029" w14:textId="704D1BB2" w:rsidR="00156F0D" w:rsidRDefault="00156F0D" w:rsidP="00156F0D">
      <w:r>
        <w:t>The consolidation of small to medium</w:t>
      </w:r>
      <w:r w:rsidR="00A121C9">
        <w:t>-</w:t>
      </w:r>
      <w:r>
        <w:t xml:space="preserve">sized businesses can raise concerns where it leads to greater market concentration and harm to competition and consumers. In particular, serial acquisitions, </w:t>
      </w:r>
      <w:r>
        <w:lastRenderedPageBreak/>
        <w:t>where businesses make a series of acquisitions of smaller competitors that do not individually raise competition concerns, may have a significant impact on competition when taken together.</w:t>
      </w:r>
      <w:r w:rsidRPr="00B657CF">
        <w:rPr>
          <w:rStyle w:val="FootnoteReference"/>
          <w:vertAlign w:val="superscript"/>
        </w:rPr>
        <w:footnoteReference w:id="22"/>
      </w:r>
      <w:r>
        <w:t xml:space="preserve"> This can be particularly the case in small, regional or local markets.</w:t>
      </w:r>
    </w:p>
    <w:p w14:paraId="2129790E" w14:textId="592C646A" w:rsidR="00156F0D" w:rsidRDefault="00E323C9" w:rsidP="00156F0D">
      <w:r>
        <w:t>T</w:t>
      </w:r>
      <w:r w:rsidR="00156F0D">
        <w:t xml:space="preserve">he thresholds </w:t>
      </w:r>
      <w:r w:rsidR="003B7725">
        <w:t xml:space="preserve">are </w:t>
      </w:r>
      <w:r w:rsidR="00156F0D">
        <w:t xml:space="preserve">not </w:t>
      </w:r>
      <w:r w:rsidR="00C7254F">
        <w:t xml:space="preserve">designed </w:t>
      </w:r>
      <w:r w:rsidR="003B7725">
        <w:t xml:space="preserve">to </w:t>
      </w:r>
      <w:r w:rsidR="00156F0D">
        <w:t xml:space="preserve">capture acquisitions involving </w:t>
      </w:r>
      <w:r w:rsidR="00941CB7">
        <w:t>low</w:t>
      </w:r>
      <w:r w:rsidR="00984BB9">
        <w:t>-</w:t>
      </w:r>
      <w:r w:rsidR="00941CB7">
        <w:t xml:space="preserve">value assets or </w:t>
      </w:r>
      <w:r w:rsidR="00156F0D">
        <w:t>small businesses</w:t>
      </w:r>
      <w:r w:rsidR="00FA2C4A">
        <w:t>. Instead,</w:t>
      </w:r>
      <w:r w:rsidR="003B7725">
        <w:t xml:space="preserve"> </w:t>
      </w:r>
      <w:r w:rsidR="00FA2C4A">
        <w:t>the</w:t>
      </w:r>
      <w:r w:rsidR="007249BA">
        <w:t xml:space="preserve"> thresholds</w:t>
      </w:r>
      <w:r w:rsidR="00FA2C4A">
        <w:t xml:space="preserve"> </w:t>
      </w:r>
      <w:r w:rsidR="00156F0D">
        <w:t xml:space="preserve">focus on acquisitions that are significant in size. However, in </w:t>
      </w:r>
      <w:r w:rsidR="007249BA">
        <w:t>limited</w:t>
      </w:r>
      <w:r w:rsidR="008A7621">
        <w:t xml:space="preserve"> </w:t>
      </w:r>
      <w:r w:rsidR="00156F0D">
        <w:t xml:space="preserve">circumstances, </w:t>
      </w:r>
      <w:r w:rsidR="00FA2C4A">
        <w:t xml:space="preserve">relatively small </w:t>
      </w:r>
      <w:r w:rsidR="00156F0D">
        <w:t xml:space="preserve">acquisitions </w:t>
      </w:r>
      <w:r w:rsidR="00FA2C4A">
        <w:t>may</w:t>
      </w:r>
      <w:r w:rsidR="00156F0D">
        <w:t xml:space="preserve"> raise </w:t>
      </w:r>
      <w:r w:rsidR="00FA2C4A">
        <w:t xml:space="preserve">competition </w:t>
      </w:r>
      <w:r w:rsidR="00156F0D">
        <w:t xml:space="preserve">concerns </w:t>
      </w:r>
      <w:r w:rsidR="00FA2C4A">
        <w:t xml:space="preserve">because they involve </w:t>
      </w:r>
      <w:r w:rsidR="00156F0D">
        <w:t>accumulating and entrenching the market power of the acquirer</w:t>
      </w:r>
      <w:r w:rsidR="001941EC">
        <w:t>.</w:t>
      </w:r>
      <w:r w:rsidR="001941EC" w:rsidDel="000E2756">
        <w:t xml:space="preserve"> </w:t>
      </w:r>
      <w:r w:rsidR="001941EC">
        <w:t>They may also raise concerns</w:t>
      </w:r>
      <w:r w:rsidR="00156F0D">
        <w:t xml:space="preserve"> in local and/or regional areas where there may be a limited number of competitors</w:t>
      </w:r>
      <w:r w:rsidR="002A63D2">
        <w:t>.</w:t>
      </w:r>
    </w:p>
    <w:p w14:paraId="4F15CDB3" w14:textId="124FD3BA" w:rsidR="00156F0D" w:rsidRPr="00187E6E" w:rsidRDefault="00156F0D" w:rsidP="00156F0D">
      <w:pPr>
        <w:keepNext/>
        <w:rPr>
          <w:rStyle w:val="Strong"/>
        </w:rPr>
      </w:pPr>
      <w:r>
        <w:rPr>
          <w:rStyle w:val="Strong"/>
        </w:rPr>
        <w:t>Scrutiny of a</w:t>
      </w:r>
      <w:r w:rsidRPr="00187E6E">
        <w:rPr>
          <w:rStyle w:val="Strong"/>
        </w:rPr>
        <w:t>cquisitions by acquirers with substantial market power</w:t>
      </w:r>
      <w:r w:rsidR="00BD4931">
        <w:rPr>
          <w:rStyle w:val="Strong"/>
        </w:rPr>
        <w:t>, including of nascent competitors</w:t>
      </w:r>
    </w:p>
    <w:p w14:paraId="1835367B" w14:textId="0274A32F" w:rsidR="00666E67" w:rsidRDefault="00156F0D" w:rsidP="00666E67">
      <w:pPr>
        <w:rPr>
          <w:rStyle w:val="Strong"/>
          <w:b w:val="0"/>
          <w:bCs w:val="0"/>
        </w:rPr>
      </w:pPr>
      <w:r>
        <w:rPr>
          <w:rStyle w:val="Strong"/>
          <w:b w:val="0"/>
          <w:bCs w:val="0"/>
        </w:rPr>
        <w:t xml:space="preserve">There are significant competition risks associated with acquisitions by businesses that already have substantial market power, even where the </w:t>
      </w:r>
      <w:r w:rsidR="004F7E86">
        <w:rPr>
          <w:rStyle w:val="Strong"/>
          <w:b w:val="0"/>
          <w:bCs w:val="0"/>
        </w:rPr>
        <w:t>target is</w:t>
      </w:r>
      <w:r>
        <w:rPr>
          <w:rStyle w:val="Strong"/>
          <w:b w:val="0"/>
          <w:bCs w:val="0"/>
        </w:rPr>
        <w:t xml:space="preserve"> relatively small. The existence of substantial market power is indicative of a lack of competitive constraints. </w:t>
      </w:r>
      <w:r w:rsidR="00666E67">
        <w:t>The OECD in its recent economic survey of Australia has noted evidence that ‘a growing body of evidence links excessive concentration and market power with a range of poor economic outcomes’.</w:t>
      </w:r>
      <w:r w:rsidR="00F25ABD" w:rsidRPr="007B7562">
        <w:rPr>
          <w:rStyle w:val="FootnoteReference"/>
          <w:vertAlign w:val="superscript"/>
        </w:rPr>
        <w:footnoteReference w:id="23"/>
      </w:r>
    </w:p>
    <w:p w14:paraId="6BDCA8A7" w14:textId="17150DF4" w:rsidR="008F17F0" w:rsidRDefault="7936EEA4" w:rsidP="00156F0D">
      <w:r>
        <w:t>Businesses with substantial market power may also make ‘killer acquisitions’ and prevent future competition by acquiring smaller, nascent competitors and discontinuing the development of their product or innovation before they become a competitive threat.</w:t>
      </w:r>
      <w:r w:rsidR="00156F0D" w:rsidRPr="0D6D23E4">
        <w:rPr>
          <w:rStyle w:val="FootnoteReference"/>
          <w:vertAlign w:val="superscript"/>
        </w:rPr>
        <w:footnoteReference w:id="24"/>
      </w:r>
      <w:r>
        <w:t xml:space="preserve"> This can occur when a small </w:t>
      </w:r>
      <w:r w:rsidR="00D35B95">
        <w:t>business</w:t>
      </w:r>
      <w:r>
        <w:t xml:space="preserve"> is seen by a larger business as a potential competitive threat. The OECD notes this has been of concern in the technological, chemical, and pharmaceutical sectors,</w:t>
      </w:r>
      <w:r w:rsidR="00156F0D" w:rsidRPr="0D6D23E4">
        <w:rPr>
          <w:rStyle w:val="FootnoteReference"/>
          <w:vertAlign w:val="superscript"/>
        </w:rPr>
        <w:footnoteReference w:id="25"/>
      </w:r>
      <w:r>
        <w:t xml:space="preserve"> with between 5 to 7 per</w:t>
      </w:r>
      <w:r w:rsidR="00BF55B3">
        <w:t xml:space="preserve"> </w:t>
      </w:r>
      <w:r>
        <w:t xml:space="preserve">cent of acquisitions in US pharmaceutical industry </w:t>
      </w:r>
      <w:r w:rsidR="00E502D1">
        <w:t>sample data</w:t>
      </w:r>
      <w:r>
        <w:t xml:space="preserve"> estimated to be killer acquisitions.</w:t>
      </w:r>
      <w:r w:rsidR="00156F0D" w:rsidRPr="0D6D23E4">
        <w:rPr>
          <w:rStyle w:val="FootnoteReference"/>
          <w:vertAlign w:val="superscript"/>
        </w:rPr>
        <w:footnoteReference w:id="26"/>
      </w:r>
    </w:p>
    <w:p w14:paraId="7AAF4FD3" w14:textId="08C1EE79" w:rsidR="008F17F0" w:rsidRDefault="00156F0D" w:rsidP="00156F0D">
      <w:pPr>
        <w:rPr>
          <w:rStyle w:val="Strong"/>
          <w:b w:val="0"/>
          <w:bCs w:val="0"/>
        </w:rPr>
      </w:pPr>
      <w:r>
        <w:rPr>
          <w:rStyle w:val="Strong"/>
          <w:b w:val="0"/>
          <w:bCs w:val="0"/>
        </w:rPr>
        <w:t>These acquisitions can entrench and strengthen a position of substantial market power and further weaken competition and outcomes for consumers by eliminating a source of competition that might constrain the market power of the firm with substantial market power.</w:t>
      </w:r>
      <w:r w:rsidR="005E6CB2">
        <w:rPr>
          <w:rStyle w:val="Strong"/>
          <w:b w:val="0"/>
          <w:bCs w:val="0"/>
        </w:rPr>
        <w:t xml:space="preserve"> </w:t>
      </w:r>
      <w:r w:rsidR="003D0994">
        <w:rPr>
          <w:rStyle w:val="Strong"/>
          <w:b w:val="0"/>
          <w:bCs w:val="0"/>
        </w:rPr>
        <w:t xml:space="preserve">It </w:t>
      </w:r>
      <w:r w:rsidR="00BD59D5">
        <w:rPr>
          <w:rStyle w:val="Strong"/>
          <w:b w:val="0"/>
          <w:bCs w:val="0"/>
        </w:rPr>
        <w:t>can</w:t>
      </w:r>
      <w:r w:rsidR="003D0994">
        <w:rPr>
          <w:rStyle w:val="Strong"/>
          <w:b w:val="0"/>
          <w:bCs w:val="0"/>
        </w:rPr>
        <w:t xml:space="preserve"> also increase the </w:t>
      </w:r>
      <w:r w:rsidR="004F0717">
        <w:rPr>
          <w:rStyle w:val="Strong"/>
          <w:b w:val="0"/>
          <w:bCs w:val="0"/>
        </w:rPr>
        <w:t xml:space="preserve">market power </w:t>
      </w:r>
      <w:r w:rsidR="00BC45DD">
        <w:rPr>
          <w:rStyle w:val="Strong"/>
          <w:b w:val="0"/>
          <w:bCs w:val="0"/>
        </w:rPr>
        <w:t xml:space="preserve">and markups of </w:t>
      </w:r>
      <w:r w:rsidR="005602C6">
        <w:rPr>
          <w:rStyle w:val="Strong"/>
          <w:b w:val="0"/>
          <w:bCs w:val="0"/>
        </w:rPr>
        <w:t>the a</w:t>
      </w:r>
      <w:r w:rsidR="000C2027">
        <w:rPr>
          <w:rStyle w:val="Strong"/>
          <w:b w:val="0"/>
          <w:bCs w:val="0"/>
        </w:rPr>
        <w:t>c</w:t>
      </w:r>
      <w:r w:rsidR="005602C6">
        <w:rPr>
          <w:rStyle w:val="Strong"/>
          <w:b w:val="0"/>
          <w:bCs w:val="0"/>
        </w:rPr>
        <w:t xml:space="preserve">quirer’s </w:t>
      </w:r>
      <w:r w:rsidR="004B600D">
        <w:rPr>
          <w:rStyle w:val="Strong"/>
          <w:b w:val="0"/>
          <w:bCs w:val="0"/>
        </w:rPr>
        <w:t xml:space="preserve">rivals </w:t>
      </w:r>
      <w:r w:rsidR="00BC45DD">
        <w:rPr>
          <w:rStyle w:val="Strong"/>
          <w:b w:val="0"/>
          <w:bCs w:val="0"/>
        </w:rPr>
        <w:t xml:space="preserve">following </w:t>
      </w:r>
      <w:r w:rsidR="00DA24AD">
        <w:rPr>
          <w:rStyle w:val="Strong"/>
          <w:b w:val="0"/>
          <w:bCs w:val="0"/>
        </w:rPr>
        <w:t>a merger</w:t>
      </w:r>
      <w:r w:rsidR="00BC45DD">
        <w:rPr>
          <w:rStyle w:val="Strong"/>
          <w:b w:val="0"/>
          <w:bCs w:val="0"/>
        </w:rPr>
        <w:t>, with larger effects when market concentration is high.</w:t>
      </w:r>
      <w:r w:rsidR="00BC45DD" w:rsidRPr="0009646B">
        <w:rPr>
          <w:rStyle w:val="FootnoteReference"/>
          <w:vertAlign w:val="superscript"/>
        </w:rPr>
        <w:footnoteReference w:id="27"/>
      </w:r>
    </w:p>
    <w:p w14:paraId="3E8C6A04" w14:textId="26FBA467" w:rsidR="001E79FE" w:rsidRDefault="004F7F51" w:rsidP="001E79FE">
      <w:r>
        <w:rPr>
          <w:rStyle w:val="Strong"/>
          <w:b w:val="0"/>
          <w:bCs w:val="0"/>
        </w:rPr>
        <w:t xml:space="preserve">These </w:t>
      </w:r>
      <w:r w:rsidR="008E3E40">
        <w:rPr>
          <w:rStyle w:val="Strong"/>
          <w:b w:val="0"/>
          <w:bCs w:val="0"/>
        </w:rPr>
        <w:t xml:space="preserve">acquisitions </w:t>
      </w:r>
      <w:r>
        <w:rPr>
          <w:rStyle w:val="Strong"/>
          <w:b w:val="0"/>
          <w:bCs w:val="0"/>
        </w:rPr>
        <w:t>warrant greater scrutiny</w:t>
      </w:r>
      <w:r w:rsidR="00C36BE5">
        <w:rPr>
          <w:rStyle w:val="Strong"/>
          <w:b w:val="0"/>
          <w:bCs w:val="0"/>
        </w:rPr>
        <w:t>, particularly</w:t>
      </w:r>
      <w:r w:rsidR="00E92063">
        <w:rPr>
          <w:rStyle w:val="Strong"/>
          <w:b w:val="0"/>
          <w:bCs w:val="0"/>
        </w:rPr>
        <w:t xml:space="preserve"> </w:t>
      </w:r>
      <w:r w:rsidR="00200F30">
        <w:rPr>
          <w:rStyle w:val="Strong"/>
          <w:b w:val="0"/>
          <w:bCs w:val="0"/>
        </w:rPr>
        <w:t>as</w:t>
      </w:r>
      <w:r w:rsidR="00E93BA6">
        <w:rPr>
          <w:rStyle w:val="Strong"/>
          <w:b w:val="0"/>
          <w:bCs w:val="0"/>
        </w:rPr>
        <w:t xml:space="preserve"> they </w:t>
      </w:r>
      <w:r w:rsidR="002F0280">
        <w:rPr>
          <w:rStyle w:val="Strong"/>
          <w:b w:val="0"/>
          <w:bCs w:val="0"/>
        </w:rPr>
        <w:t xml:space="preserve">can </w:t>
      </w:r>
      <w:r w:rsidR="0043101D">
        <w:rPr>
          <w:rStyle w:val="Strong"/>
          <w:b w:val="0"/>
          <w:bCs w:val="0"/>
        </w:rPr>
        <w:t>risk</w:t>
      </w:r>
      <w:r w:rsidR="00D73E24">
        <w:rPr>
          <w:rStyle w:val="Strong"/>
          <w:b w:val="0"/>
          <w:bCs w:val="0"/>
        </w:rPr>
        <w:t xml:space="preserve"> </w:t>
      </w:r>
      <w:r w:rsidR="006A684A">
        <w:rPr>
          <w:rStyle w:val="Strong"/>
          <w:b w:val="0"/>
          <w:bCs w:val="0"/>
        </w:rPr>
        <w:t xml:space="preserve">entrenching </w:t>
      </w:r>
      <w:r w:rsidR="00D73E24">
        <w:rPr>
          <w:rStyle w:val="Strong"/>
          <w:b w:val="0"/>
          <w:bCs w:val="0"/>
        </w:rPr>
        <w:t>poor</w:t>
      </w:r>
      <w:r w:rsidR="00C727C9">
        <w:rPr>
          <w:rStyle w:val="Strong"/>
          <w:b w:val="0"/>
          <w:bCs w:val="0"/>
        </w:rPr>
        <w:t xml:space="preserve"> outcomes for competition and consumers</w:t>
      </w:r>
      <w:r w:rsidR="002F0280">
        <w:rPr>
          <w:rStyle w:val="Strong"/>
          <w:b w:val="0"/>
          <w:bCs w:val="0"/>
        </w:rPr>
        <w:t xml:space="preserve"> for long period</w:t>
      </w:r>
      <w:r w:rsidR="00E93BA6">
        <w:rPr>
          <w:rStyle w:val="Strong"/>
          <w:b w:val="0"/>
          <w:bCs w:val="0"/>
        </w:rPr>
        <w:t>s</w:t>
      </w:r>
      <w:r w:rsidR="002F0280">
        <w:rPr>
          <w:rStyle w:val="Strong"/>
          <w:b w:val="0"/>
          <w:bCs w:val="0"/>
        </w:rPr>
        <w:t xml:space="preserve"> of time.</w:t>
      </w:r>
      <w:r w:rsidR="00E93BA6">
        <w:rPr>
          <w:rStyle w:val="Strong"/>
          <w:b w:val="0"/>
          <w:bCs w:val="0"/>
        </w:rPr>
        <w:t xml:space="preserve"> </w:t>
      </w:r>
      <w:r w:rsidR="001E4B0A">
        <w:rPr>
          <w:rStyle w:val="Strong"/>
          <w:b w:val="0"/>
          <w:bCs w:val="0"/>
        </w:rPr>
        <w:t>For example, a study of the US concrete industry showed that an entrant typically took 9</w:t>
      </w:r>
      <w:r w:rsidR="00BC5BEF">
        <w:rPr>
          <w:rStyle w:val="Strong"/>
          <w:b w:val="0"/>
          <w:bCs w:val="0"/>
        </w:rPr>
        <w:t xml:space="preserve"> to </w:t>
      </w:r>
      <w:r w:rsidR="001E4B0A">
        <w:rPr>
          <w:rStyle w:val="Strong"/>
          <w:b w:val="0"/>
          <w:bCs w:val="0"/>
        </w:rPr>
        <w:t>10 years to respond to a merger that had resulted in the market becoming a monopoly.</w:t>
      </w:r>
      <w:r w:rsidR="001E4B0A" w:rsidRPr="007B7562">
        <w:rPr>
          <w:rStyle w:val="FootnoteReference"/>
          <w:vertAlign w:val="superscript"/>
        </w:rPr>
        <w:footnoteReference w:id="28"/>
      </w:r>
    </w:p>
    <w:p w14:paraId="26806CB4" w14:textId="1C1EC163" w:rsidR="00156F0D" w:rsidRPr="00D9122C" w:rsidRDefault="00156F0D" w:rsidP="00156F0D">
      <w:pPr>
        <w:rPr>
          <w:rStyle w:val="Strong"/>
        </w:rPr>
      </w:pPr>
      <w:r>
        <w:rPr>
          <w:rStyle w:val="Strong"/>
        </w:rPr>
        <w:t>Targeting acquisitions that directly affect Australian consumers</w:t>
      </w:r>
    </w:p>
    <w:p w14:paraId="1D0AF695" w14:textId="36C36B0D" w:rsidR="00156F0D" w:rsidRDefault="00156F0D" w:rsidP="00156F0D">
      <w:r>
        <w:t xml:space="preserve">The notification thresholds should only capture acquisitions that affect Australian consumers. They should </w:t>
      </w:r>
      <w:r w:rsidR="00162DBA">
        <w:t xml:space="preserve">not capture </w:t>
      </w:r>
      <w:r>
        <w:t xml:space="preserve">foreign </w:t>
      </w:r>
      <w:r w:rsidR="00DC0BDA">
        <w:t xml:space="preserve">acquisitions </w:t>
      </w:r>
      <w:r>
        <w:t xml:space="preserve">that are unlikely to cause harm in Australia or to Australian </w:t>
      </w:r>
      <w:r w:rsidR="00A5790A">
        <w:t>consumers</w:t>
      </w:r>
      <w:r>
        <w:t>.</w:t>
      </w:r>
      <w:r w:rsidR="00E502D1">
        <w:t xml:space="preserve"> </w:t>
      </w:r>
      <w:r>
        <w:t>This aligns with the OECD</w:t>
      </w:r>
      <w:r w:rsidR="0003278F">
        <w:t>’s</w:t>
      </w:r>
      <w:r>
        <w:t xml:space="preserve"> and the International Competition Network’s (ICN) </w:t>
      </w:r>
      <w:r>
        <w:lastRenderedPageBreak/>
        <w:t>recommendation</w:t>
      </w:r>
      <w:r w:rsidR="004E4780">
        <w:t>s</w:t>
      </w:r>
      <w:r>
        <w:t xml:space="preserve"> that competition agencies </w:t>
      </w:r>
      <w:r w:rsidRPr="00C41D54">
        <w:t xml:space="preserve">only investigate mergers that pose competition concerns </w:t>
      </w:r>
      <w:r>
        <w:t xml:space="preserve">within – </w:t>
      </w:r>
      <w:r w:rsidRPr="00C41D54">
        <w:t>and have a significant and direct economic connection to</w:t>
      </w:r>
      <w:r>
        <w:t xml:space="preserve"> –</w:t>
      </w:r>
      <w:r w:rsidRPr="00C41D54">
        <w:t xml:space="preserve"> the</w:t>
      </w:r>
      <w:r>
        <w:t>ir</w:t>
      </w:r>
      <w:r w:rsidRPr="00C41D54">
        <w:t xml:space="preserve"> jurisdiction.</w:t>
      </w:r>
      <w:r w:rsidR="00CF4D97" w:rsidRPr="005561AD">
        <w:rPr>
          <w:rStyle w:val="FootnoteReference"/>
          <w:vertAlign w:val="superscript"/>
        </w:rPr>
        <w:footnoteReference w:id="29"/>
      </w:r>
    </w:p>
    <w:p w14:paraId="1A0F151B" w14:textId="1DC4FC25" w:rsidR="00156F0D" w:rsidRDefault="00580DA4" w:rsidP="00156F0D">
      <w:pPr>
        <w:pStyle w:val="Heading2"/>
      </w:pPr>
      <w:bookmarkStart w:id="19" w:name="_Toc176443939"/>
      <w:r>
        <w:t xml:space="preserve">Projected </w:t>
      </w:r>
      <w:r w:rsidR="00D438BF">
        <w:t>number of notified acquisitions</w:t>
      </w:r>
      <w:bookmarkEnd w:id="19"/>
    </w:p>
    <w:p w14:paraId="1E9D0DFC" w14:textId="39AC6ECC" w:rsidR="001B1D07" w:rsidRDefault="00156F0D" w:rsidP="001B1D07">
      <w:r>
        <w:t>The combination of monetary</w:t>
      </w:r>
      <w:r w:rsidR="00800C26">
        <w:t xml:space="preserve"> and </w:t>
      </w:r>
      <w:r>
        <w:t xml:space="preserve">market concentration </w:t>
      </w:r>
      <w:r w:rsidR="00800C26">
        <w:t xml:space="preserve">thresholds as well as additional targeted notification requirements </w:t>
      </w:r>
      <w:r w:rsidR="002F6C46">
        <w:t xml:space="preserve">are </w:t>
      </w:r>
      <w:r w:rsidR="00B87729">
        <w:t xml:space="preserve">designed </w:t>
      </w:r>
      <w:r w:rsidR="002F6C46">
        <w:t xml:space="preserve">to </w:t>
      </w:r>
      <w:r>
        <w:t xml:space="preserve">act </w:t>
      </w:r>
      <w:r w:rsidR="0014005F">
        <w:t>together</w:t>
      </w:r>
      <w:r>
        <w:t xml:space="preserve"> as a ‘net’ to capture potentially anti</w:t>
      </w:r>
      <w:r w:rsidR="003A0CD2">
        <w:noBreakHyphen/>
      </w:r>
      <w:r>
        <w:t>competitive</w:t>
      </w:r>
      <w:r w:rsidR="00437426">
        <w:t xml:space="preserve"> mergers</w:t>
      </w:r>
      <w:r w:rsidR="00E11B08">
        <w:t>, consistent with the targeted</w:t>
      </w:r>
      <w:r w:rsidR="002D26A3">
        <w:t>,</w:t>
      </w:r>
      <w:r w:rsidR="00E11B08">
        <w:t xml:space="preserve"> risk</w:t>
      </w:r>
      <w:r w:rsidR="00E11B08">
        <w:noBreakHyphen/>
        <w:t>based approach</w:t>
      </w:r>
      <w:r>
        <w:t xml:space="preserve"> outlined above.</w:t>
      </w:r>
    </w:p>
    <w:p w14:paraId="415BA04E" w14:textId="42485EBE" w:rsidR="00E852C8" w:rsidRDefault="00F740F6" w:rsidP="00465E41">
      <w:r>
        <w:t>Appl</w:t>
      </w:r>
      <w:r w:rsidR="00654651">
        <w:t>y</w:t>
      </w:r>
      <w:r>
        <w:t>ing these thresholds to historical data</w:t>
      </w:r>
      <w:r w:rsidR="00465E41">
        <w:t xml:space="preserve">, Treasury estimates </w:t>
      </w:r>
      <w:r>
        <w:t xml:space="preserve">that </w:t>
      </w:r>
      <w:r w:rsidR="00465E41">
        <w:t>be</w:t>
      </w:r>
      <w:r w:rsidR="00465E41" w:rsidRPr="00CB03FD">
        <w:t xml:space="preserve">tween </w:t>
      </w:r>
      <w:r w:rsidR="00A45D06">
        <w:t>300</w:t>
      </w:r>
      <w:r w:rsidR="00AF6A13" w:rsidRPr="00BE7ED3">
        <w:t xml:space="preserve"> to </w:t>
      </w:r>
      <w:r w:rsidR="00A45D06">
        <w:t>500</w:t>
      </w:r>
      <w:r w:rsidR="00AF6A13" w:rsidRPr="00BE7ED3">
        <w:t xml:space="preserve"> </w:t>
      </w:r>
      <w:r w:rsidR="00465E41" w:rsidRPr="00CB03FD">
        <w:t xml:space="preserve">acquisitions would be notifiable </w:t>
      </w:r>
      <w:r w:rsidR="00F11D2F" w:rsidRPr="00CB03FD">
        <w:t>each year</w:t>
      </w:r>
      <w:r w:rsidR="00465E41" w:rsidRPr="00CB03FD">
        <w:t xml:space="preserve">. </w:t>
      </w:r>
      <w:r w:rsidR="00275D3A" w:rsidRPr="00CB03FD">
        <w:t xml:space="preserve">This compares to </w:t>
      </w:r>
      <w:r w:rsidR="006E003B">
        <w:t xml:space="preserve">a total of </w:t>
      </w:r>
      <w:r w:rsidR="0060023C">
        <w:t xml:space="preserve">around </w:t>
      </w:r>
      <w:r w:rsidR="00275D3A" w:rsidRPr="00F451A2">
        <w:t>1500</w:t>
      </w:r>
      <w:r w:rsidR="00275D3A" w:rsidRPr="00CB03FD">
        <w:t xml:space="preserve"> </w:t>
      </w:r>
      <w:r w:rsidR="00EB746B">
        <w:t xml:space="preserve">or more </w:t>
      </w:r>
      <w:r w:rsidR="00275D3A" w:rsidRPr="00CB03FD">
        <w:t>mergers</w:t>
      </w:r>
      <w:r w:rsidR="00275D3A">
        <w:t xml:space="preserve"> that </w:t>
      </w:r>
      <w:r w:rsidR="00EB746B">
        <w:t xml:space="preserve">reportedly </w:t>
      </w:r>
      <w:r w:rsidR="00275D3A">
        <w:t>occur each year in Australi</w:t>
      </w:r>
      <w:r w:rsidR="00F451A2">
        <w:t>a</w:t>
      </w:r>
      <w:r w:rsidR="00275D3A">
        <w:t>.</w:t>
      </w:r>
      <w:r w:rsidR="00275D3A" w:rsidRPr="00432B7C">
        <w:rPr>
          <w:rStyle w:val="FootnoteReference"/>
          <w:vertAlign w:val="superscript"/>
        </w:rPr>
        <w:footnoteReference w:id="30"/>
      </w:r>
    </w:p>
    <w:p w14:paraId="6FAFDEA6" w14:textId="09ECEA01" w:rsidR="008152DB" w:rsidRDefault="00465E41" w:rsidP="00C402E8">
      <w:r>
        <w:t>The</w:t>
      </w:r>
      <w:r w:rsidR="002F43A2">
        <w:t>se</w:t>
      </w:r>
      <w:r>
        <w:t xml:space="preserve"> </w:t>
      </w:r>
      <w:r w:rsidR="00B94EA1">
        <w:t xml:space="preserve">projected number of notifications </w:t>
      </w:r>
      <w:r w:rsidR="003A14F9">
        <w:t>are subject to a</w:t>
      </w:r>
      <w:r>
        <w:t xml:space="preserve"> substantial margin of error</w:t>
      </w:r>
      <w:r w:rsidR="00976478">
        <w:t xml:space="preserve">. This </w:t>
      </w:r>
      <w:r>
        <w:t>reflects limitations</w:t>
      </w:r>
      <w:r w:rsidR="00243E19">
        <w:t xml:space="preserve"> in the available historical data</w:t>
      </w:r>
      <w:r w:rsidR="00976478">
        <w:t>, which</w:t>
      </w:r>
      <w:r w:rsidR="00243E19">
        <w:t xml:space="preserve"> </w:t>
      </w:r>
      <w:r w:rsidR="00886CD8">
        <w:t>is</w:t>
      </w:r>
      <w:r w:rsidR="00243E19">
        <w:t xml:space="preserve"> </w:t>
      </w:r>
      <w:r>
        <w:t xml:space="preserve">partly the </w:t>
      </w:r>
      <w:r w:rsidR="00886CD8">
        <w:t xml:space="preserve">result of the </w:t>
      </w:r>
      <w:r>
        <w:t xml:space="preserve">limited visibility of merger activity that Australia’s voluntary notification system has provided to date. </w:t>
      </w:r>
      <w:r w:rsidR="00551399">
        <w:t>In particular, t</w:t>
      </w:r>
      <w:r>
        <w:t xml:space="preserve">he data relied upon in our </w:t>
      </w:r>
      <w:r w:rsidR="00091C0F">
        <w:t>projected notif</w:t>
      </w:r>
      <w:r w:rsidR="00E269C9">
        <w:t>i</w:t>
      </w:r>
      <w:r w:rsidR="00091C0F">
        <w:t>cations</w:t>
      </w:r>
      <w:r>
        <w:t xml:space="preserve"> </w:t>
      </w:r>
      <w:r w:rsidR="009148E0">
        <w:t>are</w:t>
      </w:r>
      <w:r w:rsidR="004240C1">
        <w:t xml:space="preserve"> </w:t>
      </w:r>
      <w:r>
        <w:t>incomplete, and do not full</w:t>
      </w:r>
      <w:r w:rsidR="004240C1">
        <w:t xml:space="preserve">y </w:t>
      </w:r>
      <w:r>
        <w:t>cover</w:t>
      </w:r>
      <w:r w:rsidR="000369BA">
        <w:t xml:space="preserve"> </w:t>
      </w:r>
      <w:r>
        <w:t xml:space="preserve">acquisitions </w:t>
      </w:r>
      <w:r w:rsidR="004240C1">
        <w:t>of, for example,</w:t>
      </w:r>
      <w:r>
        <w:t xml:space="preserve"> patent</w:t>
      </w:r>
      <w:r w:rsidR="004240C1">
        <w:t>s</w:t>
      </w:r>
      <w:r>
        <w:t xml:space="preserve">, land </w:t>
      </w:r>
      <w:r w:rsidR="004240C1">
        <w:t xml:space="preserve">or </w:t>
      </w:r>
      <w:r>
        <w:t xml:space="preserve">minority </w:t>
      </w:r>
      <w:r w:rsidR="004240C1">
        <w:t>interests</w:t>
      </w:r>
      <w:r>
        <w:t xml:space="preserve">. Even though </w:t>
      </w:r>
      <w:r w:rsidR="000915DB">
        <w:t>Treasury has</w:t>
      </w:r>
      <w:r w:rsidR="004240C1">
        <w:t xml:space="preserve"> relied</w:t>
      </w:r>
      <w:r>
        <w:t xml:space="preserve"> upon multiple data sources, these limitations cannot be fully overcome.</w:t>
      </w:r>
    </w:p>
    <w:p w14:paraId="0F928D6D" w14:textId="040B4871" w:rsidR="00C402E8" w:rsidRDefault="00465E41" w:rsidP="00C402E8">
      <w:r>
        <w:t xml:space="preserve">The substantial margin of error </w:t>
      </w:r>
      <w:r w:rsidR="000915DB">
        <w:t xml:space="preserve">in projected notifications </w:t>
      </w:r>
      <w:r>
        <w:t>also reflects the uncertainty in future merger activity in Australia, which will depend greatly on underlying market conditions</w:t>
      </w:r>
      <w:r w:rsidR="003F598C">
        <w:t xml:space="preserve"> </w:t>
      </w:r>
      <w:r w:rsidR="002C2C9C">
        <w:t>that</w:t>
      </w:r>
      <w:r w:rsidR="003F598C">
        <w:t xml:space="preserve"> are difficult to predict </w:t>
      </w:r>
      <w:r w:rsidR="00D64068">
        <w:t xml:space="preserve">even </w:t>
      </w:r>
      <w:r w:rsidR="00522589">
        <w:t>a</w:t>
      </w:r>
      <w:r w:rsidR="00D64068">
        <w:t xml:space="preserve"> year in advance</w:t>
      </w:r>
      <w:r>
        <w:t xml:space="preserve">. </w:t>
      </w:r>
      <w:r w:rsidR="00C402E8">
        <w:t xml:space="preserve">Moreover, there may be additional transactions that parties choose to voluntarily </w:t>
      </w:r>
      <w:r w:rsidR="00DB6ABC">
        <w:t xml:space="preserve">notify </w:t>
      </w:r>
      <w:r w:rsidR="00C402E8">
        <w:t xml:space="preserve">even when </w:t>
      </w:r>
      <w:r w:rsidR="00522589">
        <w:t>not required to do so</w:t>
      </w:r>
      <w:r w:rsidR="00C402E8">
        <w:t xml:space="preserve"> by the thresholds. The volume of such voluntary notifications is too difficult to quantify but </w:t>
      </w:r>
      <w:r w:rsidR="00522589">
        <w:t xml:space="preserve">could </w:t>
      </w:r>
      <w:r w:rsidR="00C402E8">
        <w:t>be significant</w:t>
      </w:r>
      <w:r w:rsidR="00867206">
        <w:t>,</w:t>
      </w:r>
      <w:r w:rsidR="00C402E8">
        <w:t xml:space="preserve"> especially in the early years of the new system </w:t>
      </w:r>
      <w:r w:rsidR="00522589">
        <w:t>if</w:t>
      </w:r>
      <w:r w:rsidR="00C402E8">
        <w:t xml:space="preserve"> businesses err on the side of notifying.</w:t>
      </w:r>
    </w:p>
    <w:p w14:paraId="620421B7" w14:textId="3F36697D" w:rsidR="00465E41" w:rsidRDefault="00465E41" w:rsidP="00465E41">
      <w:r>
        <w:t xml:space="preserve">Further details of Treasury’s methodology and data sources are outlined in </w:t>
      </w:r>
      <w:r w:rsidRPr="5C405500">
        <w:rPr>
          <w:b/>
          <w:bCs/>
        </w:rPr>
        <w:t>Attachment A</w:t>
      </w:r>
      <w:r>
        <w:t>.</w:t>
      </w:r>
    </w:p>
    <w:p w14:paraId="1FA625AE" w14:textId="77777777" w:rsidR="00156F0D" w:rsidRDefault="00156F0D" w:rsidP="001B1D07">
      <w:pPr>
        <w:sectPr w:rsidR="00156F0D" w:rsidSect="00156F0D">
          <w:pgSz w:w="11906" w:h="16838" w:code="9"/>
          <w:pgMar w:top="1843" w:right="1417" w:bottom="1417" w:left="1417" w:header="709" w:footer="709" w:gutter="0"/>
          <w:cols w:space="708"/>
          <w:docGrid w:linePitch="360"/>
        </w:sectPr>
      </w:pPr>
    </w:p>
    <w:p w14:paraId="707B614E" w14:textId="744DA31C" w:rsidR="00156F0D" w:rsidRDefault="00156F0D" w:rsidP="00156F0D">
      <w:pPr>
        <w:pStyle w:val="Heading1"/>
      </w:pPr>
      <w:bookmarkStart w:id="20" w:name="_Toc176443940"/>
      <w:r>
        <w:lastRenderedPageBreak/>
        <w:t>Monetary</w:t>
      </w:r>
      <w:bookmarkEnd w:id="20"/>
    </w:p>
    <w:p w14:paraId="1DAF1D60" w14:textId="6221ACBF" w:rsidR="00156F0D" w:rsidRDefault="00156F0D" w:rsidP="00156F0D">
      <w:r>
        <w:t xml:space="preserve">Monetary thresholds </w:t>
      </w:r>
      <w:bookmarkStart w:id="21" w:name="_Int_d1yTdQMB"/>
      <w:r>
        <w:t>generally relate</w:t>
      </w:r>
      <w:bookmarkEnd w:id="21"/>
      <w:r>
        <w:t xml:space="preserve"> to the size of the merger based on well</w:t>
      </w:r>
      <w:r w:rsidR="5B50D542">
        <w:t xml:space="preserve"> </w:t>
      </w:r>
      <w:r>
        <w:t xml:space="preserve">understood financial metrics such as turnover, assets and transaction value. Monetary thresholds will be used to capture mergers by medium to </w:t>
      </w:r>
      <w:r w:rsidR="003C0774">
        <w:t xml:space="preserve">very </w:t>
      </w:r>
      <w:r>
        <w:t>large businesses that are economically significant in size. They can also be structured to capture other mergers of concern such as serial acquisitions and nascent acquisitions.</w:t>
      </w:r>
    </w:p>
    <w:p w14:paraId="50A2F76A" w14:textId="6DFB8891" w:rsidR="00156F0D" w:rsidRDefault="00156F0D" w:rsidP="00156F0D">
      <w:pPr>
        <w:pStyle w:val="Heading2"/>
      </w:pPr>
      <w:bookmarkStart w:id="22" w:name="_Toc176443941"/>
      <w:r>
        <w:t>Monetary thresholds are consistent with international practice</w:t>
      </w:r>
      <w:bookmarkEnd w:id="22"/>
    </w:p>
    <w:p w14:paraId="7173FA33" w14:textId="2A4508A1" w:rsidR="00156F0D" w:rsidRDefault="00156F0D" w:rsidP="00156F0D">
      <w:r>
        <w:t>The OECD and ICN recommend</w:t>
      </w:r>
      <w:r w:rsidR="00E04CAF">
        <w:t>s</w:t>
      </w:r>
      <w:r>
        <w:t xml:space="preserve"> the use of clear and objective criteria when setting notification thresholds.</w:t>
      </w:r>
      <w:r w:rsidRPr="00FD110B">
        <w:rPr>
          <w:rStyle w:val="FootnoteReference"/>
          <w:vertAlign w:val="superscript"/>
        </w:rPr>
        <w:footnoteReference w:id="31"/>
      </w:r>
      <w:r>
        <w:t xml:space="preserve"> Thresholds based on monetary metrics are widely used across </w:t>
      </w:r>
      <w:bookmarkStart w:id="23" w:name="_Int_PNsIkOVc"/>
      <w:r>
        <w:t>jurisdictions</w:t>
      </w:r>
      <w:bookmarkEnd w:id="23"/>
      <w:r>
        <w:t xml:space="preserve"> with mandatory notification</w:t>
      </w:r>
      <w:r w:rsidR="00BC6C0F">
        <w:t xml:space="preserve"> requirements</w:t>
      </w:r>
      <w:r>
        <w:t xml:space="preserve">, including in the United States, Canada, </w:t>
      </w:r>
      <w:r w:rsidR="6895FDD6">
        <w:t>Japan,</w:t>
      </w:r>
      <w:r>
        <w:t xml:space="preserve"> and Europe. A benefit of monetary thresholds is they enable businesses to assess whether they need to notify a</w:t>
      </w:r>
      <w:r w:rsidR="00035052">
        <w:t>n</w:t>
      </w:r>
      <w:r>
        <w:t xml:space="preserve"> </w:t>
      </w:r>
      <w:r w:rsidR="00445234">
        <w:t xml:space="preserve">acquisition </w:t>
      </w:r>
      <w:r>
        <w:t xml:space="preserve">based on information </w:t>
      </w:r>
      <w:r w:rsidR="00734FF5">
        <w:t xml:space="preserve">that </w:t>
      </w:r>
      <w:r>
        <w:t>is generally readily available to them and prepared in the course of their business.</w:t>
      </w:r>
    </w:p>
    <w:p w14:paraId="77153C5F" w14:textId="7164A5CD" w:rsidR="001D23D5" w:rsidRDefault="00156F0D" w:rsidP="00156F0D">
      <w:r>
        <w:t>Different monetary metrics are</w:t>
      </w:r>
      <w:r w:rsidDel="00975E87">
        <w:t xml:space="preserve"> </w:t>
      </w:r>
      <w:r>
        <w:t>used internationally</w:t>
      </w:r>
      <w:r w:rsidR="00FA1376">
        <w:t>,</w:t>
      </w:r>
      <w:r>
        <w:t xml:space="preserve"> includ</w:t>
      </w:r>
      <w:r w:rsidR="00FA1376">
        <w:t>ing</w:t>
      </w:r>
      <w:r>
        <w:t xml:space="preserve"> t</w:t>
      </w:r>
      <w:r w:rsidRPr="002333BB">
        <w:t xml:space="preserve">urnover thresholds </w:t>
      </w:r>
      <w:r w:rsidR="007930B8">
        <w:t>(</w:t>
      </w:r>
      <w:r>
        <w:t>which are</w:t>
      </w:r>
      <w:r w:rsidRPr="00E23101">
        <w:t xml:space="preserve"> generally preferred</w:t>
      </w:r>
      <w:r w:rsidRPr="002333BB">
        <w:t xml:space="preserve"> within the OECD</w:t>
      </w:r>
      <w:r w:rsidR="007930B8">
        <w:t>)</w:t>
      </w:r>
      <w:r>
        <w:t>,</w:t>
      </w:r>
      <w:r w:rsidRPr="002333BB" w:rsidDel="002333BB">
        <w:t xml:space="preserve"> </w:t>
      </w:r>
      <w:r w:rsidR="004944B3">
        <w:t xml:space="preserve">transaction value and </w:t>
      </w:r>
      <w:r>
        <w:t>the value of assets</w:t>
      </w:r>
      <w:r w:rsidRPr="00E23101">
        <w:t>.</w:t>
      </w:r>
      <w:r w:rsidRPr="00453E2E">
        <w:rPr>
          <w:rStyle w:val="FootnoteReference"/>
          <w:vertAlign w:val="superscript"/>
        </w:rPr>
        <w:footnoteReference w:id="32"/>
      </w:r>
      <w:r w:rsidRPr="00453E2E">
        <w:rPr>
          <w:vertAlign w:val="superscript"/>
        </w:rPr>
        <w:t xml:space="preserve"> </w:t>
      </w:r>
      <w:r w:rsidRPr="00385A70">
        <w:t>A combination of these metrics may also be used</w:t>
      </w:r>
      <w:r>
        <w:t xml:space="preserve"> in notification thresholds</w:t>
      </w:r>
      <w:r w:rsidRPr="00385A70">
        <w:t xml:space="preserve">. </w:t>
      </w:r>
    </w:p>
    <w:p w14:paraId="1F285021" w14:textId="3030B435" w:rsidR="00156F0D" w:rsidRDefault="00156F0D" w:rsidP="00156F0D">
      <w:pPr>
        <w:pStyle w:val="Heading2"/>
      </w:pPr>
      <w:bookmarkStart w:id="24" w:name="_Toc176443942"/>
      <w:r>
        <w:t>Structure of monetary thresholds</w:t>
      </w:r>
      <w:bookmarkEnd w:id="24"/>
    </w:p>
    <w:p w14:paraId="0CF9E447" w14:textId="3D39AAF3" w:rsidR="00156F0D" w:rsidRDefault="00156F0D" w:rsidP="00156F0D">
      <w:r>
        <w:t xml:space="preserve">To capture acquisitions by large businesses, criteria </w:t>
      </w:r>
      <w:r w:rsidR="005F68DC">
        <w:t xml:space="preserve">that focuses on the characteristics of the acquirer, </w:t>
      </w:r>
      <w:r>
        <w:t xml:space="preserve">such as the Australian turnover of the acquirer’s business and </w:t>
      </w:r>
      <w:r w:rsidR="00E13B85">
        <w:t xml:space="preserve">other </w:t>
      </w:r>
      <w:r>
        <w:t xml:space="preserve">businesses in their corporate group (if applicable), may be an appropriate basis for </w:t>
      </w:r>
      <w:r w:rsidR="00B2225B">
        <w:t xml:space="preserve">setting </w:t>
      </w:r>
      <w:r>
        <w:t>notification thresholds in Australia.</w:t>
      </w:r>
    </w:p>
    <w:p w14:paraId="10E82280" w14:textId="3244BB38" w:rsidR="00156F0D" w:rsidRDefault="00156F0D" w:rsidP="00156F0D">
      <w:r>
        <w:t xml:space="preserve">Businesses within a corporate group will </w:t>
      </w:r>
      <w:r w:rsidR="00B2225B">
        <w:t xml:space="preserve">generally </w:t>
      </w:r>
      <w:r>
        <w:t xml:space="preserve">be financially and operationally connected. Businesses may also </w:t>
      </w:r>
      <w:r w:rsidR="009A6AC8">
        <w:t>establish</w:t>
      </w:r>
      <w:r>
        <w:t xml:space="preserve"> holding or shell companies in the course of a transaction for taxation and other purposes. In determining the value of an acquirer’s business, the focus should therefore be on the substance, rather than the form. This </w:t>
      </w:r>
      <w:r w:rsidR="00BA71A2">
        <w:t>will</w:t>
      </w:r>
      <w:r>
        <w:t xml:space="preserve"> enable acquisitions by integrated and/or conglomerate acquirers to be appropriately considered. </w:t>
      </w:r>
    </w:p>
    <w:p w14:paraId="166269B5" w14:textId="07349B63" w:rsidR="00156F0D" w:rsidRDefault="00156F0D" w:rsidP="00156F0D">
      <w:r>
        <w:t xml:space="preserve">The </w:t>
      </w:r>
      <w:r w:rsidR="0080656E">
        <w:t xml:space="preserve">turnover of the </w:t>
      </w:r>
      <w:r>
        <w:t xml:space="preserve">target </w:t>
      </w:r>
      <w:r w:rsidR="0080656E">
        <w:t>and</w:t>
      </w:r>
      <w:r>
        <w:t xml:space="preserve"> multiple </w:t>
      </w:r>
      <w:r w:rsidR="0080656E">
        <w:t>acquirers</w:t>
      </w:r>
      <w:r>
        <w:t xml:space="preserve"> can be screened through ‘combined turnover’ thresholds (i.e. the sum of all of the merger parties’ Australian turnover, not just the acquirer) and/or by assessing the Australian turnover of the target </w:t>
      </w:r>
      <w:r w:rsidR="003E0B41">
        <w:t>business</w:t>
      </w:r>
      <w:r w:rsidR="00622B3E">
        <w:t xml:space="preserve"> or asset</w:t>
      </w:r>
      <w:r>
        <w:t xml:space="preserve">. This </w:t>
      </w:r>
      <w:r w:rsidR="00292862">
        <w:t xml:space="preserve">will </w:t>
      </w:r>
      <w:r>
        <w:t>allow for reviews of business combinations or acquisitions of an economically significant size, irrespective of transaction structuring.</w:t>
      </w:r>
      <w:r w:rsidR="00A5789D">
        <w:t xml:space="preserve"> </w:t>
      </w:r>
      <w:r w:rsidR="00FC77E0">
        <w:t xml:space="preserve">Additionally, setting </w:t>
      </w:r>
      <w:r w:rsidR="00156C10">
        <w:t>turnover</w:t>
      </w:r>
      <w:r w:rsidR="00F12D4E">
        <w:t xml:space="preserve"> </w:t>
      </w:r>
      <w:r w:rsidR="00FC77E0">
        <w:t>requirements for</w:t>
      </w:r>
      <w:r w:rsidR="0082221D">
        <w:t xml:space="preserve"> </w:t>
      </w:r>
      <w:r w:rsidR="00F12D4E">
        <w:t>‘at least two of the merger parties’</w:t>
      </w:r>
      <w:r w:rsidR="00200CC9">
        <w:t xml:space="preserve"> addresses </w:t>
      </w:r>
      <w:r w:rsidR="006C21A8">
        <w:t>acquisitions</w:t>
      </w:r>
      <w:r w:rsidR="00200CC9">
        <w:t xml:space="preserve"> where there are more than two merger parties</w:t>
      </w:r>
      <w:r w:rsidR="006C56C3">
        <w:t xml:space="preserve"> and where it may be difficult to </w:t>
      </w:r>
      <w:r w:rsidR="006C56C3">
        <w:lastRenderedPageBreak/>
        <w:t xml:space="preserve">distinguish </w:t>
      </w:r>
      <w:r w:rsidR="00BE1B16">
        <w:t xml:space="preserve">the </w:t>
      </w:r>
      <w:r w:rsidR="006C56C3">
        <w:t>‘target’</w:t>
      </w:r>
      <w:r w:rsidR="00AC4274">
        <w:t>. This would not include the turnover of the seller of the business or asset, only the</w:t>
      </w:r>
      <w:r w:rsidR="0082221D">
        <w:t xml:space="preserve"> </w:t>
      </w:r>
      <w:r w:rsidR="001E4722">
        <w:t xml:space="preserve">turnover associated with the </w:t>
      </w:r>
      <w:r w:rsidR="0082221D">
        <w:t xml:space="preserve">business or asset </w:t>
      </w:r>
      <w:r w:rsidR="00681CA5">
        <w:t>being acquired</w:t>
      </w:r>
      <w:r w:rsidR="0082221D">
        <w:t>.</w:t>
      </w:r>
    </w:p>
    <w:p w14:paraId="15D08F73" w14:textId="45810058" w:rsidR="00E00D03" w:rsidRDefault="00156F0D" w:rsidP="00156F0D">
      <w:r>
        <w:t>Setting additional thresholds based on other monetary metrics such as transaction value can capture ‘killer’ or nascent acquisitions where other monetary metrics (such as turnover) do not sufficiently reflect a target’s potential competitive significance in Australia. This is particularly important to enable scrutiny of acquisitions, such as in the digital and technology sectors</w:t>
      </w:r>
      <w:r w:rsidR="00CC1A26">
        <w:t>,</w:t>
      </w:r>
      <w:r>
        <w:t xml:space="preserve"> where firms may have little turnover </w:t>
      </w:r>
      <w:r w:rsidR="00232DA2">
        <w:t>but</w:t>
      </w:r>
      <w:r>
        <w:t xml:space="preserve"> may still act as a competitive constraint to large incumbent businesses.</w:t>
      </w:r>
      <w:r w:rsidRPr="006C752F">
        <w:t xml:space="preserve"> </w:t>
      </w:r>
      <w:r>
        <w:t xml:space="preserve">A high transaction value can be indicative of potential market and commercial impact – for example, Facebook acquired Instagram in 2012 for </w:t>
      </w:r>
      <w:r w:rsidR="00774853">
        <w:t>USD</w:t>
      </w:r>
      <w:r w:rsidR="00774853" w:rsidDel="00774853">
        <w:t xml:space="preserve"> </w:t>
      </w:r>
      <w:r w:rsidR="001F6C4C">
        <w:t>715</w:t>
      </w:r>
      <w:r>
        <w:t xml:space="preserve"> </w:t>
      </w:r>
      <w:r w:rsidR="001F6C4C">
        <w:t>m</w:t>
      </w:r>
      <w:r>
        <w:t xml:space="preserve">illion despite Instagram having no </w:t>
      </w:r>
      <w:r w:rsidR="001B431C">
        <w:t>turnover</w:t>
      </w:r>
      <w:r>
        <w:t>.</w:t>
      </w:r>
      <w:r w:rsidR="0054663D" w:rsidRPr="00E00879">
        <w:rPr>
          <w:rStyle w:val="FootnoteReference"/>
          <w:vertAlign w:val="superscript"/>
        </w:rPr>
        <w:footnoteReference w:id="33"/>
      </w:r>
      <w:r w:rsidR="000513F1">
        <w:t xml:space="preserve"> </w:t>
      </w:r>
    </w:p>
    <w:p w14:paraId="6F85D94E" w14:textId="7900B548" w:rsidR="009F6264" w:rsidRDefault="000513F1" w:rsidP="009F6264">
      <w:r>
        <w:t>T</w:t>
      </w:r>
      <w:r w:rsidR="00874CB3">
        <w:t>ransaction value thresholds</w:t>
      </w:r>
      <w:r>
        <w:t xml:space="preserve"> </w:t>
      </w:r>
      <w:r w:rsidR="000E7ED1">
        <w:t xml:space="preserve">are typically </w:t>
      </w:r>
      <w:r w:rsidR="00931BCF">
        <w:t xml:space="preserve">based on </w:t>
      </w:r>
      <w:r w:rsidR="00964108">
        <w:t xml:space="preserve">the </w:t>
      </w:r>
      <w:r w:rsidR="002C7F66">
        <w:t>total</w:t>
      </w:r>
      <w:r w:rsidR="00931BCF">
        <w:t xml:space="preserve"> </w:t>
      </w:r>
      <w:r w:rsidR="00964108">
        <w:t xml:space="preserve">size of </w:t>
      </w:r>
      <w:r w:rsidR="00C908F3">
        <w:t xml:space="preserve">the </w:t>
      </w:r>
      <w:r w:rsidR="00964108">
        <w:t>transaction</w:t>
      </w:r>
      <w:r w:rsidR="00C908F3">
        <w:t xml:space="preserve"> </w:t>
      </w:r>
      <w:r w:rsidR="002C7F66">
        <w:t>globally</w:t>
      </w:r>
      <w:r w:rsidR="000E7ED1" w:rsidDel="00A63CEB">
        <w:t xml:space="preserve"> </w:t>
      </w:r>
      <w:r w:rsidR="00E97F40">
        <w:t xml:space="preserve">to avoid </w:t>
      </w:r>
      <w:r w:rsidR="00224441">
        <w:t>arbitrary</w:t>
      </w:r>
      <w:r w:rsidR="000E7ED1">
        <w:t xml:space="preserve"> country</w:t>
      </w:r>
      <w:r w:rsidR="00A63CEB">
        <w:t>-</w:t>
      </w:r>
      <w:r w:rsidR="002B741A">
        <w:t>specific apportionment of transaction value on global transactions</w:t>
      </w:r>
      <w:r w:rsidR="00094187">
        <w:t>.</w:t>
      </w:r>
      <w:r w:rsidR="00366CD6" w:rsidRPr="00B466B9">
        <w:rPr>
          <w:rStyle w:val="FootnoteReference"/>
          <w:vertAlign w:val="superscript"/>
        </w:rPr>
        <w:footnoteReference w:id="34"/>
      </w:r>
      <w:r w:rsidR="001B431C">
        <w:t xml:space="preserve"> </w:t>
      </w:r>
      <w:r w:rsidR="009F6264" w:rsidRPr="00500845">
        <w:t xml:space="preserve">Asset acquisitions will be </w:t>
      </w:r>
      <w:r w:rsidR="009F6264">
        <w:t xml:space="preserve">also </w:t>
      </w:r>
      <w:r w:rsidR="009F6264" w:rsidRPr="00500845">
        <w:t xml:space="preserve">captured by the proposed monetary thresholds if the transaction value threshold is met or if the turnover threshold is met based on the attribution of turnover generated by the acquired assets where applicable, such as the </w:t>
      </w:r>
      <w:r w:rsidR="00327AA9">
        <w:t>lease</w:t>
      </w:r>
      <w:r w:rsidR="00327AA9" w:rsidRPr="00500845">
        <w:t xml:space="preserve"> </w:t>
      </w:r>
      <w:r w:rsidR="009F6264" w:rsidRPr="00500845">
        <w:t>income associated with a property acquisition.</w:t>
      </w:r>
      <w:r w:rsidR="009F6264">
        <w:t xml:space="preserve"> </w:t>
      </w:r>
    </w:p>
    <w:p w14:paraId="46CE5A44" w14:textId="73B98792" w:rsidR="00156F0D" w:rsidRDefault="00156F0D" w:rsidP="00156F0D">
      <w:r>
        <w:t xml:space="preserve">To address concerns regarding serial acquisitions, all </w:t>
      </w:r>
      <w:r w:rsidR="00DE0E6C">
        <w:t xml:space="preserve">acquisitions </w:t>
      </w:r>
      <w:r>
        <w:t xml:space="preserve">within the previous three years </w:t>
      </w:r>
      <w:r w:rsidR="00CB5A23">
        <w:t>within the same product or service market</w:t>
      </w:r>
      <w:r w:rsidR="00962004">
        <w:t>/s</w:t>
      </w:r>
      <w:r w:rsidR="00CB5A23">
        <w:t xml:space="preserve"> (irrespective of geographic location) </w:t>
      </w:r>
      <w:r>
        <w:t xml:space="preserve">by the </w:t>
      </w:r>
      <w:r w:rsidRPr="00727979">
        <w:t>acquir</w:t>
      </w:r>
      <w:r>
        <w:t xml:space="preserve">er </w:t>
      </w:r>
      <w:r w:rsidRPr="00727979">
        <w:t xml:space="preserve">and </w:t>
      </w:r>
      <w:r w:rsidR="009B1137" w:rsidRPr="00727979">
        <w:t>acquir</w:t>
      </w:r>
      <w:r w:rsidR="009B1137">
        <w:t>er</w:t>
      </w:r>
      <w:r w:rsidR="009B1137" w:rsidRPr="00727979">
        <w:t xml:space="preserve"> </w:t>
      </w:r>
      <w:r w:rsidRPr="00727979">
        <w:t xml:space="preserve">corporate group </w:t>
      </w:r>
      <w:r>
        <w:t>are proposed to be aggregated for the purposes of assessing whether a</w:t>
      </w:r>
      <w:r w:rsidR="00F2462E">
        <w:t>n acquisition</w:t>
      </w:r>
      <w:r>
        <w:t xml:space="preserve"> meets </w:t>
      </w:r>
      <w:r w:rsidR="009D68B3">
        <w:t xml:space="preserve">the </w:t>
      </w:r>
      <w:r w:rsidR="005E17DC">
        <w:t>monetary</w:t>
      </w:r>
      <w:r w:rsidR="00596690">
        <w:t xml:space="preserve"> turnover</w:t>
      </w:r>
      <w:r w:rsidR="005E17DC">
        <w:t xml:space="preserve"> </w:t>
      </w:r>
      <w:r>
        <w:t>threshold</w:t>
      </w:r>
      <w:r w:rsidR="00253968">
        <w:t xml:space="preserve"> only</w:t>
      </w:r>
      <w:r>
        <w:t xml:space="preserve">, regardless of whether those </w:t>
      </w:r>
      <w:r w:rsidR="00074325">
        <w:t xml:space="preserve">acquisitions </w:t>
      </w:r>
      <w:r>
        <w:t>were themselves individually notifiable.</w:t>
      </w:r>
      <w:r w:rsidRPr="00E24DFF">
        <w:rPr>
          <w:rStyle w:val="FootnoteReference"/>
          <w:vertAlign w:val="superscript"/>
        </w:rPr>
        <w:footnoteReference w:id="35"/>
      </w:r>
      <w:r>
        <w:t xml:space="preserve"> </w:t>
      </w:r>
      <w:r w:rsidRPr="00DF3020">
        <w:t>Without having</w:t>
      </w:r>
      <w:r w:rsidR="001658C2">
        <w:t xml:space="preserve"> </w:t>
      </w:r>
      <w:r w:rsidRPr="00DF3020">
        <w:t xml:space="preserve">cumulative </w:t>
      </w:r>
      <w:r w:rsidR="008C1B93">
        <w:t xml:space="preserve">turnover </w:t>
      </w:r>
      <w:r w:rsidRPr="00DF3020">
        <w:t>threshold</w:t>
      </w:r>
      <w:r w:rsidR="002F6A23">
        <w:t>s</w:t>
      </w:r>
      <w:r w:rsidRPr="00DF3020">
        <w:t xml:space="preserve">, some serial acquisitions of concern </w:t>
      </w:r>
      <w:r>
        <w:t>may</w:t>
      </w:r>
      <w:r w:rsidRPr="00DF3020">
        <w:t xml:space="preserve"> not be picked up by the notification thresholds.</w:t>
      </w:r>
    </w:p>
    <w:p w14:paraId="7BA525BB" w14:textId="4596CF6D" w:rsidR="00156F0D" w:rsidRDefault="00156F0D" w:rsidP="00156F0D">
      <w:r>
        <w:t>In addition to the thresholds being based on Australian turnover, t</w:t>
      </w:r>
      <w:r w:rsidRPr="004C7095">
        <w:t xml:space="preserve">he target </w:t>
      </w:r>
      <w:r>
        <w:t>business</w:t>
      </w:r>
      <w:r w:rsidRPr="004C7095">
        <w:t xml:space="preserve"> </w:t>
      </w:r>
      <w:r>
        <w:t xml:space="preserve">or asset should </w:t>
      </w:r>
      <w:r w:rsidRPr="004C7095">
        <w:t>ha</w:t>
      </w:r>
      <w:r>
        <w:t>ve</w:t>
      </w:r>
      <w:r w:rsidRPr="004C7095">
        <w:t xml:space="preserve"> a material connection to Australia</w:t>
      </w:r>
      <w:r>
        <w:t>. This</w:t>
      </w:r>
      <w:r w:rsidR="00DA3D52">
        <w:t xml:space="preserve"> </w:t>
      </w:r>
      <w:r w:rsidR="00B572A3">
        <w:t>will</w:t>
      </w:r>
      <w:r>
        <w:t xml:space="preserve"> include,</w:t>
      </w:r>
      <w:r w:rsidRPr="004C7095">
        <w:t xml:space="preserve"> but not </w:t>
      </w:r>
      <w:r w:rsidR="00B572A3">
        <w:t xml:space="preserve">be </w:t>
      </w:r>
      <w:r w:rsidRPr="004C7095">
        <w:t xml:space="preserve">limited to, being registered </w:t>
      </w:r>
      <w:r>
        <w:t xml:space="preserve">or located </w:t>
      </w:r>
      <w:r w:rsidRPr="004C7095">
        <w:t>in Australia, supplying goods or services to Australian customers, or generating revenue in Australia</w:t>
      </w:r>
      <w:r>
        <w:t xml:space="preserve">. Requiring a material connection to Australia </w:t>
      </w:r>
      <w:r w:rsidR="00B572A3">
        <w:t xml:space="preserve">will </w:t>
      </w:r>
      <w:r>
        <w:t xml:space="preserve">ensure the monetary thresholds </w:t>
      </w:r>
      <w:r w:rsidR="00D248E0">
        <w:t xml:space="preserve">(including the cumulative turnover thresholds) </w:t>
      </w:r>
      <w:r w:rsidR="00A63CEB">
        <w:t xml:space="preserve">only </w:t>
      </w:r>
      <w:r>
        <w:t xml:space="preserve">capture acquisitions </w:t>
      </w:r>
      <w:r w:rsidR="00A06C1C">
        <w:t xml:space="preserve">that </w:t>
      </w:r>
      <w:r>
        <w:t>impact Australian consumers, without capturing foreign</w:t>
      </w:r>
      <w:r w:rsidRPr="00B938C1">
        <w:t xml:space="preserve"> acquisitions with negligible operations in Australia</w:t>
      </w:r>
      <w:r>
        <w:t xml:space="preserve"> or impact on Australian commerce</w:t>
      </w:r>
      <w:r w:rsidR="005F502F">
        <w:t xml:space="preserve"> that may </w:t>
      </w:r>
      <w:r w:rsidR="00D33C9A">
        <w:t xml:space="preserve">otherwise </w:t>
      </w:r>
      <w:r w:rsidR="005F502F">
        <w:t xml:space="preserve">be </w:t>
      </w:r>
      <w:r w:rsidR="00852B37">
        <w:t>captured</w:t>
      </w:r>
      <w:r w:rsidR="005F502F">
        <w:t xml:space="preserve"> by the global transaction value threshold</w:t>
      </w:r>
      <w:r w:rsidRPr="00B938C1">
        <w:t>.</w:t>
      </w:r>
    </w:p>
    <w:p w14:paraId="24E2B7FA" w14:textId="3291F771" w:rsidR="001F4EAB" w:rsidRPr="001F4EAB" w:rsidRDefault="00631355" w:rsidP="001F4EAB">
      <w:r>
        <w:t xml:space="preserve">The </w:t>
      </w:r>
      <w:r w:rsidR="009354FA" w:rsidDel="00A103A4">
        <w:t>regulations</w:t>
      </w:r>
      <w:r w:rsidR="009354FA">
        <w:t xml:space="preserve"> will</w:t>
      </w:r>
      <w:r w:rsidR="00B31C1F">
        <w:t xml:space="preserve"> </w:t>
      </w:r>
      <w:r w:rsidR="007467F3">
        <w:t xml:space="preserve">further </w:t>
      </w:r>
      <w:r w:rsidR="00FB420F">
        <w:t>clarify</w:t>
      </w:r>
      <w:r w:rsidR="001613E1">
        <w:t xml:space="preserve"> how </w:t>
      </w:r>
      <w:r w:rsidR="0075373A">
        <w:t>turnover</w:t>
      </w:r>
      <w:r w:rsidR="00FE1B9A">
        <w:t xml:space="preserve"> </w:t>
      </w:r>
      <w:r w:rsidR="0075373A">
        <w:t>and transaction value are</w:t>
      </w:r>
      <w:r w:rsidR="00C3081B">
        <w:t xml:space="preserve"> calculated for the purposes of </w:t>
      </w:r>
      <w:r w:rsidR="0075373A">
        <w:t>whether the</w:t>
      </w:r>
      <w:r w:rsidR="005D43E4">
        <w:t xml:space="preserve"> monetary</w:t>
      </w:r>
      <w:r w:rsidR="0075373A">
        <w:t xml:space="preserve"> thresholds</w:t>
      </w:r>
      <w:r w:rsidR="005D43E4">
        <w:t xml:space="preserve"> are met. </w:t>
      </w:r>
      <w:r w:rsidR="005B63FA">
        <w:t>Based on other jurisdictions, relevant turnover could be calculated based on, for example, the most recent financial year</w:t>
      </w:r>
      <w:r w:rsidR="0047692B">
        <w:t>/</w:t>
      </w:r>
      <w:r w:rsidR="005B63FA">
        <w:t xml:space="preserve">s sales revenue for the relevant party. Similarly, transaction value could be calculated by considering the sum of all assets and monetary benefits received by the seller from the merger. Further detail on this calculation, including changes due to foreign exchange and share prices, will be </w:t>
      </w:r>
      <w:r w:rsidR="000D33DA">
        <w:t>set in regulations (following consultation)</w:t>
      </w:r>
      <w:r w:rsidR="005B63FA">
        <w:t xml:space="preserve">. </w:t>
      </w:r>
    </w:p>
    <w:p w14:paraId="082112CD" w14:textId="24CE7488" w:rsidR="00156F0D" w:rsidRPr="00066641" w:rsidRDefault="00156F0D" w:rsidP="00156F0D">
      <w:pPr>
        <w:pStyle w:val="Heading2"/>
      </w:pPr>
      <w:bookmarkStart w:id="25" w:name="_Toc176443943"/>
      <w:r>
        <w:lastRenderedPageBreak/>
        <w:t xml:space="preserve">Analysis of economic </w:t>
      </w:r>
      <w:r w:rsidR="00EB1840">
        <w:t xml:space="preserve">data </w:t>
      </w:r>
      <w:r>
        <w:t>to determine monetary thresholds</w:t>
      </w:r>
      <w:bookmarkEnd w:id="25"/>
    </w:p>
    <w:p w14:paraId="2303C785" w14:textId="59B90E5C" w:rsidR="001F4EAB" w:rsidRDefault="001F4EAB" w:rsidP="001F4EAB">
      <w:r>
        <w:t>Treasury has used a range of data sources</w:t>
      </w:r>
      <w:r w:rsidR="00135E06" w:rsidRPr="0099693F">
        <w:rPr>
          <w:rStyle w:val="FootnoteReference"/>
          <w:vertAlign w:val="superscript"/>
        </w:rPr>
        <w:footnoteReference w:id="36"/>
      </w:r>
      <w:r>
        <w:t xml:space="preserve"> as well as comparisons with thresholds in other jurisdictions to inform the design and values of the monetary thresholds to achieve the objectives.</w:t>
      </w:r>
    </w:p>
    <w:p w14:paraId="7C5E9A4D" w14:textId="765524E5" w:rsidR="00156F0D" w:rsidRPr="00307125" w:rsidRDefault="00156F0D" w:rsidP="001B42C3">
      <w:pPr>
        <w:pStyle w:val="Heading3"/>
      </w:pPr>
      <w:bookmarkStart w:id="26" w:name="_Toc176443944"/>
      <w:r>
        <w:rPr>
          <w:rStyle w:val="Strong"/>
        </w:rPr>
        <w:t>International comparisons</w:t>
      </w:r>
      <w:bookmarkEnd w:id="26"/>
    </w:p>
    <w:p w14:paraId="551E9E9A" w14:textId="01863A22" w:rsidR="00156F0D" w:rsidRDefault="00156F0D" w:rsidP="00156F0D">
      <w:r w:rsidRPr="00072F67">
        <w:t>The OECD has noted that ‘</w:t>
      </w:r>
      <w:r w:rsidR="00F121EC">
        <w:t>A</w:t>
      </w:r>
      <w:r w:rsidRPr="00072F67">
        <w:t>lthough there is no unique rule or general principle for the determination of the numerical threshold levels, there is some consensus</w:t>
      </w:r>
      <w:r>
        <w:t xml:space="preserve"> on the need to consider various factors such as Gross Domestic Product (GDP), size of companies operating within the territory, and average number of transactions that can be effectively reviewed’.</w:t>
      </w:r>
      <w:r w:rsidRPr="002B78DF">
        <w:rPr>
          <w:rStyle w:val="FootnoteReference"/>
          <w:vertAlign w:val="superscript"/>
        </w:rPr>
        <w:footnoteReference w:id="37"/>
      </w:r>
    </w:p>
    <w:p w14:paraId="71AE908D" w14:textId="4C5CF731" w:rsidR="00156F0D" w:rsidRDefault="00156F0D" w:rsidP="00156F0D">
      <w:r>
        <w:t xml:space="preserve">The OECD has previously conducted international benchmarking by comparing thresholds as </w:t>
      </w:r>
      <w:r w:rsidR="00873BFC">
        <w:t xml:space="preserve">a </w:t>
      </w:r>
      <w:r>
        <w:t xml:space="preserve">percent of GDP </w:t>
      </w:r>
      <w:r w:rsidR="006E2B18">
        <w:t xml:space="preserve">or GDP per capita </w:t>
      </w:r>
      <w:r>
        <w:t>for jurisdictions of similar sized economies, characteristics of merger control systems and population size.</w:t>
      </w:r>
      <w:r w:rsidRPr="00EF6E77">
        <w:rPr>
          <w:rStyle w:val="FootnoteReference"/>
          <w:vertAlign w:val="superscript"/>
        </w:rPr>
        <w:footnoteReference w:id="38"/>
      </w:r>
      <w:r>
        <w:t xml:space="preserve"> The ICN also recommend</w:t>
      </w:r>
      <w:r w:rsidR="00790205">
        <w:t>s</w:t>
      </w:r>
      <w:r>
        <w:t xml:space="preserve"> comparing thresholds with similar jurisdictions to determine what may be a reasonable range for thresholds.</w:t>
      </w:r>
      <w:r w:rsidRPr="00C62435">
        <w:rPr>
          <w:rStyle w:val="FootnoteReference"/>
          <w:vertAlign w:val="superscript"/>
        </w:rPr>
        <w:footnoteReference w:id="39"/>
      </w:r>
    </w:p>
    <w:p w14:paraId="08B1BA45" w14:textId="1C467D0D" w:rsidR="00156F0D" w:rsidRDefault="00156F0D" w:rsidP="00156F0D">
      <w:r>
        <w:t>Jurisdictions</w:t>
      </w:r>
      <w:r w:rsidDel="00A06C1C">
        <w:t xml:space="preserve"> </w:t>
      </w:r>
      <w:r w:rsidR="00A06C1C">
        <w:t xml:space="preserve">that </w:t>
      </w:r>
      <w:r>
        <w:t>have similar GDP and/or GDP per capita to Australia include</w:t>
      </w:r>
      <w:r w:rsidRPr="009A325C">
        <w:t xml:space="preserve"> Canada (GDP and GDP per capita), South Korea (GDP)</w:t>
      </w:r>
      <w:r>
        <w:t xml:space="preserve">, </w:t>
      </w:r>
      <w:r w:rsidRPr="009A325C">
        <w:t>Spain (GDP</w:t>
      </w:r>
      <w:r>
        <w:t>), Denmark (GDP per capita), the Netherlands (GDP per capita) and Germany (GDP per capita).</w:t>
      </w:r>
      <w:r w:rsidRPr="00CA02FD">
        <w:rPr>
          <w:rStyle w:val="FootnoteReference"/>
          <w:vertAlign w:val="superscript"/>
        </w:rPr>
        <w:footnoteReference w:id="40"/>
      </w:r>
      <w:r>
        <w:t xml:space="preserve"> Each of these jurisdictions have mandatory and suspensory notification and</w:t>
      </w:r>
      <w:r w:rsidR="00A0793F">
        <w:t>,</w:t>
      </w:r>
      <w:r>
        <w:t xml:space="preserve"> </w:t>
      </w:r>
      <w:r w:rsidR="00FA2C4A">
        <w:t>except for</w:t>
      </w:r>
      <w:r>
        <w:t xml:space="preserve"> Canada, are administrative merger control systems.</w:t>
      </w:r>
    </w:p>
    <w:p w14:paraId="523FEB32" w14:textId="65B9F46B" w:rsidR="004B4A0F" w:rsidRDefault="004B4A0F" w:rsidP="004B4A0F">
      <w:r>
        <w:t>As shown in Table 1</w:t>
      </w:r>
      <w:r w:rsidR="00F220D8">
        <w:t xml:space="preserve"> a</w:t>
      </w:r>
      <w:r w:rsidR="00981451">
        <w:t>nd Table 2</w:t>
      </w:r>
      <w:r>
        <w:t xml:space="preserve">, setting </w:t>
      </w:r>
      <w:r w:rsidR="004F5CA6">
        <w:t xml:space="preserve">turnover </w:t>
      </w:r>
      <w:r w:rsidR="00E436B5">
        <w:t xml:space="preserve">and transaction value </w:t>
      </w:r>
      <w:r>
        <w:t xml:space="preserve">thresholds at the same proportion of GDP as other jurisdictions produces a wide indicative range of possible </w:t>
      </w:r>
      <w:r w:rsidR="001261F2">
        <w:t xml:space="preserve">turnover and </w:t>
      </w:r>
      <w:r w:rsidR="00981451">
        <w:t xml:space="preserve">transaction value </w:t>
      </w:r>
      <w:r w:rsidR="001261F2">
        <w:t>thresholds</w:t>
      </w:r>
      <w:r>
        <w:t xml:space="preserve">, informing the values that could be adopted in Australia. </w:t>
      </w:r>
    </w:p>
    <w:p w14:paraId="3F599537" w14:textId="77777777" w:rsidR="00BD278D" w:rsidRDefault="00BD278D">
      <w:pPr>
        <w:spacing w:before="0" w:after="160" w:line="259" w:lineRule="auto"/>
        <w:rPr>
          <w:sz w:val="18"/>
          <w:szCs w:val="16"/>
          <w:vertAlign w:val="superscript"/>
        </w:rPr>
      </w:pPr>
      <w:r>
        <w:rPr>
          <w:sz w:val="18"/>
          <w:szCs w:val="16"/>
          <w:vertAlign w:val="superscript"/>
        </w:rPr>
        <w:br w:type="page"/>
      </w:r>
    </w:p>
    <w:p w14:paraId="6734A69B" w14:textId="422A2523" w:rsidR="00156F0D" w:rsidRPr="00EC7A43" w:rsidRDefault="00156F0D" w:rsidP="00156F0D">
      <w:pPr>
        <w:keepNext/>
        <w:rPr>
          <w:b/>
          <w:bCs/>
        </w:rPr>
      </w:pPr>
      <w:r w:rsidRPr="00EC7A43">
        <w:rPr>
          <w:b/>
          <w:bCs/>
        </w:rPr>
        <w:lastRenderedPageBreak/>
        <w:t xml:space="preserve">Table </w:t>
      </w:r>
      <w:r w:rsidR="00BD278D">
        <w:rPr>
          <w:b/>
          <w:bCs/>
        </w:rPr>
        <w:t>1</w:t>
      </w:r>
      <w:r w:rsidRPr="00EC7A43">
        <w:rPr>
          <w:b/>
          <w:bCs/>
        </w:rPr>
        <w:t xml:space="preserve">. </w:t>
      </w:r>
      <w:r w:rsidR="00B66E7B">
        <w:rPr>
          <w:b/>
          <w:bCs/>
        </w:rPr>
        <w:t>Merger p</w:t>
      </w:r>
      <w:r>
        <w:rPr>
          <w:b/>
          <w:bCs/>
        </w:rPr>
        <w:t>arty (acquirer or target) turnover thresholds in notable jurisdictions, their percentage of GDP in 202</w:t>
      </w:r>
      <w:r w:rsidR="000D39EA">
        <w:rPr>
          <w:b/>
          <w:bCs/>
        </w:rPr>
        <w:t>3</w:t>
      </w:r>
      <w:r>
        <w:rPr>
          <w:b/>
          <w:bCs/>
        </w:rPr>
        <w:t xml:space="preserve"> and corresponding turnover threshold in Australia if set at the same percentage of GDP</w:t>
      </w:r>
    </w:p>
    <w:tbl>
      <w:tblPr>
        <w:tblStyle w:val="TableGrid"/>
        <w:tblW w:w="978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1276"/>
        <w:gridCol w:w="1275"/>
        <w:gridCol w:w="1418"/>
        <w:gridCol w:w="2835"/>
        <w:gridCol w:w="1564"/>
      </w:tblGrid>
      <w:tr w:rsidR="00DF1D01" w:rsidRPr="006C4F3B" w14:paraId="255D93E6" w14:textId="7AB0680A" w:rsidTr="006A3C0D">
        <w:trPr>
          <w:cnfStyle w:val="100000000000" w:firstRow="1" w:lastRow="0" w:firstColumn="0" w:lastColumn="0" w:oddVBand="0" w:evenVBand="0" w:oddHBand="0" w:evenHBand="0" w:firstRowFirstColumn="0" w:firstRowLastColumn="0" w:lastRowFirstColumn="0" w:lastRowLastColumn="0"/>
          <w:trHeight w:val="300"/>
          <w:tblHeader/>
          <w:jc w:val="center"/>
        </w:trPr>
        <w:tc>
          <w:tcPr>
            <w:tcW w:w="1413" w:type="dxa"/>
            <w:noWrap/>
            <w:hideMark/>
          </w:tcPr>
          <w:p w14:paraId="56695CAC" w14:textId="0565E67C" w:rsidR="00156F0D" w:rsidRPr="006C4F3B" w:rsidRDefault="00156F0D">
            <w:pPr>
              <w:keepNext/>
              <w:rPr>
                <w:bCs/>
              </w:rPr>
            </w:pPr>
            <w:r>
              <w:rPr>
                <w:bCs/>
              </w:rPr>
              <w:t>Jurisdiction</w:t>
            </w:r>
          </w:p>
        </w:tc>
        <w:tc>
          <w:tcPr>
            <w:tcW w:w="1276" w:type="dxa"/>
            <w:noWrap/>
            <w:hideMark/>
          </w:tcPr>
          <w:p w14:paraId="7ACB6F35" w14:textId="7EE389AA" w:rsidR="00156F0D" w:rsidRPr="006C4F3B" w:rsidRDefault="00156F0D">
            <w:pPr>
              <w:keepNext/>
              <w:rPr>
                <w:bCs/>
              </w:rPr>
            </w:pPr>
            <w:r w:rsidRPr="006C4F3B">
              <w:rPr>
                <w:bCs/>
              </w:rPr>
              <w:t xml:space="preserve">GDP </w:t>
            </w:r>
            <w:r>
              <w:rPr>
                <w:bCs/>
              </w:rPr>
              <w:t>202</w:t>
            </w:r>
            <w:r w:rsidR="00D31B90">
              <w:rPr>
                <w:bCs/>
              </w:rPr>
              <w:t>3</w:t>
            </w:r>
            <w:r w:rsidR="00B50C29">
              <w:rPr>
                <w:bCs/>
              </w:rPr>
              <w:t xml:space="preserve"> </w:t>
            </w:r>
            <w:r>
              <w:rPr>
                <w:bCs/>
              </w:rPr>
              <w:t>(</w:t>
            </w:r>
            <w:r w:rsidRPr="006C4F3B">
              <w:rPr>
                <w:bCs/>
              </w:rPr>
              <w:t xml:space="preserve">AUD </w:t>
            </w:r>
            <w:r>
              <w:rPr>
                <w:bCs/>
              </w:rPr>
              <w:t xml:space="preserve">in </w:t>
            </w:r>
            <w:r w:rsidR="008C26A9">
              <w:rPr>
                <w:bCs/>
              </w:rPr>
              <w:t>billions</w:t>
            </w:r>
            <w:r>
              <w:rPr>
                <w:bCs/>
              </w:rPr>
              <w:t>)</w:t>
            </w:r>
          </w:p>
        </w:tc>
        <w:tc>
          <w:tcPr>
            <w:tcW w:w="1275" w:type="dxa"/>
          </w:tcPr>
          <w:p w14:paraId="5C297744" w14:textId="07CA6843" w:rsidR="00156F0D" w:rsidRPr="006C4F3B" w:rsidRDefault="00156F0D">
            <w:pPr>
              <w:keepNext/>
              <w:rPr>
                <w:bCs/>
              </w:rPr>
            </w:pPr>
            <w:r>
              <w:rPr>
                <w:bCs/>
              </w:rPr>
              <w:t xml:space="preserve">Party </w:t>
            </w:r>
            <w:r w:rsidRPr="006C4F3B">
              <w:rPr>
                <w:bCs/>
              </w:rPr>
              <w:t xml:space="preserve">turnover </w:t>
            </w:r>
            <w:r>
              <w:rPr>
                <w:bCs/>
              </w:rPr>
              <w:t xml:space="preserve">threshold </w:t>
            </w:r>
            <w:r w:rsidRPr="006C4F3B">
              <w:rPr>
                <w:bCs/>
              </w:rPr>
              <w:t>(AUD</w:t>
            </w:r>
            <w:r>
              <w:rPr>
                <w:bCs/>
              </w:rPr>
              <w:t xml:space="preserve"> in millions</w:t>
            </w:r>
            <w:r w:rsidRPr="006C4F3B">
              <w:rPr>
                <w:bCs/>
              </w:rPr>
              <w:t>) (2023)</w:t>
            </w:r>
            <w:r>
              <w:rPr>
                <w:bCs/>
              </w:rPr>
              <w:t>*</w:t>
            </w:r>
          </w:p>
        </w:tc>
        <w:tc>
          <w:tcPr>
            <w:tcW w:w="1418" w:type="dxa"/>
            <w:noWrap/>
            <w:hideMark/>
          </w:tcPr>
          <w:p w14:paraId="69763EAF" w14:textId="1F61FAB4" w:rsidR="00156F0D" w:rsidRPr="006C4F3B" w:rsidRDefault="00156F0D">
            <w:pPr>
              <w:keepNext/>
              <w:rPr>
                <w:bCs/>
              </w:rPr>
            </w:pPr>
            <w:r w:rsidRPr="006C4F3B">
              <w:rPr>
                <w:bCs/>
              </w:rPr>
              <w:t>% of GDP</w:t>
            </w:r>
            <w:r w:rsidR="009D01C3">
              <w:rPr>
                <w:bCs/>
              </w:rPr>
              <w:t xml:space="preserve"> </w:t>
            </w:r>
            <w:r w:rsidR="003D341A">
              <w:rPr>
                <w:bCs/>
              </w:rPr>
              <w:t xml:space="preserve">multiplied by </w:t>
            </w:r>
            <w:r w:rsidR="009D01C3">
              <w:rPr>
                <w:bCs/>
              </w:rPr>
              <w:t>100</w:t>
            </w:r>
          </w:p>
        </w:tc>
        <w:tc>
          <w:tcPr>
            <w:tcW w:w="2835" w:type="dxa"/>
            <w:noWrap/>
            <w:hideMark/>
          </w:tcPr>
          <w:p w14:paraId="784FB848" w14:textId="33FEAB6D" w:rsidR="00156F0D" w:rsidRPr="006C4F3B" w:rsidRDefault="00156F0D">
            <w:pPr>
              <w:keepNext/>
              <w:rPr>
                <w:bCs/>
              </w:rPr>
            </w:pPr>
            <w:r>
              <w:rPr>
                <w:bCs/>
              </w:rPr>
              <w:t xml:space="preserve">Party </w:t>
            </w:r>
            <w:r w:rsidRPr="006C4F3B">
              <w:rPr>
                <w:bCs/>
              </w:rPr>
              <w:t>turnover threshold (AUD in millions) if set in Australia at same proportion of GDP (2023)</w:t>
            </w:r>
          </w:p>
        </w:tc>
        <w:tc>
          <w:tcPr>
            <w:tcW w:w="1564" w:type="dxa"/>
          </w:tcPr>
          <w:p w14:paraId="38F2A7D0" w14:textId="5A6F7D08" w:rsidR="00156F0D" w:rsidRDefault="00156F0D">
            <w:pPr>
              <w:keepNext/>
              <w:rPr>
                <w:bCs/>
              </w:rPr>
            </w:pPr>
            <w:r>
              <w:rPr>
                <w:bCs/>
              </w:rPr>
              <w:t>Number of notified mergers</w:t>
            </w:r>
            <w:r w:rsidR="004C5624">
              <w:rPr>
                <w:bCs/>
              </w:rPr>
              <w:t xml:space="preserve"> </w:t>
            </w:r>
            <w:r w:rsidR="00266180">
              <w:rPr>
                <w:bCs/>
              </w:rPr>
              <w:t xml:space="preserve">(if available) </w:t>
            </w:r>
            <w:r w:rsidR="004C5624">
              <w:rPr>
                <w:bCs/>
              </w:rPr>
              <w:t>or decisions</w:t>
            </w:r>
            <w:r>
              <w:rPr>
                <w:bCs/>
              </w:rPr>
              <w:t xml:space="preserve"> (2023)</w:t>
            </w:r>
          </w:p>
        </w:tc>
      </w:tr>
      <w:tr w:rsidR="00E5070D" w:rsidRPr="006C4F3B" w14:paraId="2D484A91" w14:textId="77777777" w:rsidTr="006A3C0D">
        <w:trPr>
          <w:trHeight w:val="300"/>
          <w:jc w:val="center"/>
        </w:trPr>
        <w:tc>
          <w:tcPr>
            <w:tcW w:w="1413" w:type="dxa"/>
            <w:vMerge w:val="restart"/>
            <w:noWrap/>
            <w:hideMark/>
          </w:tcPr>
          <w:p w14:paraId="47F4933A" w14:textId="5B83308E" w:rsidR="00E5070D" w:rsidRPr="00F432CE" w:rsidRDefault="00DF1D01" w:rsidP="006400DB">
            <w:pPr>
              <w:contextualSpacing/>
              <w:rPr>
                <w:b/>
                <w:sz w:val="20"/>
              </w:rPr>
            </w:pPr>
            <w:r>
              <w:rPr>
                <w:b/>
                <w:sz w:val="20"/>
              </w:rPr>
              <w:t>Germany</w:t>
            </w:r>
          </w:p>
        </w:tc>
        <w:tc>
          <w:tcPr>
            <w:tcW w:w="1276" w:type="dxa"/>
            <w:vMerge w:val="restart"/>
            <w:noWrap/>
            <w:hideMark/>
          </w:tcPr>
          <w:p w14:paraId="0CC105D8" w14:textId="12DD4D03" w:rsidR="00E5070D" w:rsidRPr="00172025" w:rsidRDefault="0029582C" w:rsidP="006400DB">
            <w:pPr>
              <w:contextualSpacing/>
              <w:rPr>
                <w:sz w:val="20"/>
              </w:rPr>
            </w:pPr>
            <w:r w:rsidRPr="0029582C">
              <w:rPr>
                <w:sz w:val="20"/>
              </w:rPr>
              <w:t>6,709</w:t>
            </w:r>
          </w:p>
        </w:tc>
        <w:tc>
          <w:tcPr>
            <w:tcW w:w="1275" w:type="dxa"/>
          </w:tcPr>
          <w:p w14:paraId="6409E6EA" w14:textId="20961198" w:rsidR="00E5070D" w:rsidRPr="000F06DE" w:rsidRDefault="00E5070D" w:rsidP="00D136B8">
            <w:pPr>
              <w:contextualSpacing/>
              <w:rPr>
                <w:sz w:val="20"/>
              </w:rPr>
            </w:pPr>
            <w:r w:rsidRPr="000F06DE">
              <w:rPr>
                <w:sz w:val="20"/>
              </w:rPr>
              <w:t>81.4</w:t>
            </w:r>
          </w:p>
        </w:tc>
        <w:tc>
          <w:tcPr>
            <w:tcW w:w="1418" w:type="dxa"/>
            <w:noWrap/>
            <w:hideMark/>
          </w:tcPr>
          <w:p w14:paraId="6AEC88BB" w14:textId="4D966236" w:rsidR="00E5070D" w:rsidRPr="000F06DE" w:rsidRDefault="00E5070D" w:rsidP="00D136B8">
            <w:pPr>
              <w:contextualSpacing/>
              <w:rPr>
                <w:sz w:val="20"/>
              </w:rPr>
            </w:pPr>
            <w:r w:rsidRPr="005938A1">
              <w:rPr>
                <w:rFonts w:cs="Calibri Light"/>
                <w:sz w:val="20"/>
              </w:rPr>
              <w:t>0.1213</w:t>
            </w:r>
          </w:p>
        </w:tc>
        <w:tc>
          <w:tcPr>
            <w:tcW w:w="2835" w:type="dxa"/>
            <w:noWrap/>
            <w:hideMark/>
          </w:tcPr>
          <w:p w14:paraId="0F465317" w14:textId="6ACB760E" w:rsidR="00E5070D" w:rsidRPr="000F06DE" w:rsidRDefault="00E5070D" w:rsidP="006400DB">
            <w:pPr>
              <w:contextualSpacing/>
              <w:rPr>
                <w:sz w:val="20"/>
              </w:rPr>
            </w:pPr>
            <w:r w:rsidRPr="000F06DE">
              <w:rPr>
                <w:sz w:val="20"/>
              </w:rPr>
              <w:t>31.8</w:t>
            </w:r>
            <w:r w:rsidR="00DF1D01">
              <w:rPr>
                <w:sz w:val="20"/>
              </w:rPr>
              <w:t xml:space="preserve"> (one </w:t>
            </w:r>
            <w:r w:rsidR="00EF0DEF">
              <w:rPr>
                <w:sz w:val="20"/>
              </w:rPr>
              <w:t>party)</w:t>
            </w:r>
          </w:p>
        </w:tc>
        <w:tc>
          <w:tcPr>
            <w:tcW w:w="1564" w:type="dxa"/>
            <w:vMerge w:val="restart"/>
          </w:tcPr>
          <w:p w14:paraId="17EE553A" w14:textId="52EA9D90" w:rsidR="00E5070D" w:rsidRPr="000F06DE" w:rsidRDefault="00FD4670" w:rsidP="006400DB">
            <w:pPr>
              <w:contextualSpacing/>
              <w:rPr>
                <w:sz w:val="20"/>
              </w:rPr>
            </w:pPr>
            <w:r w:rsidRPr="00FD4670">
              <w:rPr>
                <w:sz w:val="20"/>
              </w:rPr>
              <w:t>805</w:t>
            </w:r>
            <w:r w:rsidR="00F72CCD" w:rsidRPr="00F62AFE">
              <w:rPr>
                <w:b/>
                <w:sz w:val="20"/>
                <w:vertAlign w:val="superscript"/>
              </w:rPr>
              <w:t>#</w:t>
            </w:r>
          </w:p>
        </w:tc>
      </w:tr>
      <w:tr w:rsidR="00DF1D01" w:rsidRPr="006C4F3B" w14:paraId="7D21AA7F" w14:textId="77777777" w:rsidTr="006A3C0D">
        <w:trPr>
          <w:trHeight w:val="300"/>
          <w:jc w:val="center"/>
        </w:trPr>
        <w:tc>
          <w:tcPr>
            <w:tcW w:w="1413" w:type="dxa"/>
            <w:vMerge/>
            <w:noWrap/>
          </w:tcPr>
          <w:p w14:paraId="723A57FA" w14:textId="77777777" w:rsidR="00DF1D01" w:rsidRPr="00F432CE" w:rsidRDefault="00DF1D01" w:rsidP="00DF1D01">
            <w:pPr>
              <w:contextualSpacing/>
              <w:rPr>
                <w:b/>
                <w:sz w:val="20"/>
              </w:rPr>
            </w:pPr>
          </w:p>
        </w:tc>
        <w:tc>
          <w:tcPr>
            <w:tcW w:w="1276" w:type="dxa"/>
            <w:vMerge/>
            <w:noWrap/>
          </w:tcPr>
          <w:p w14:paraId="434DFCBE" w14:textId="77777777" w:rsidR="00DF1D01" w:rsidRPr="00172025" w:rsidRDefault="00DF1D01" w:rsidP="00DF1D01">
            <w:pPr>
              <w:contextualSpacing/>
              <w:rPr>
                <w:sz w:val="20"/>
              </w:rPr>
            </w:pPr>
          </w:p>
        </w:tc>
        <w:tc>
          <w:tcPr>
            <w:tcW w:w="1275" w:type="dxa"/>
          </w:tcPr>
          <w:p w14:paraId="21E5E6A8" w14:textId="4DDFB002" w:rsidR="00DF1D01" w:rsidRPr="000F06DE" w:rsidRDefault="00DF1D01" w:rsidP="00DF1D01">
            <w:pPr>
              <w:contextualSpacing/>
              <w:rPr>
                <w:sz w:val="20"/>
              </w:rPr>
            </w:pPr>
            <w:r w:rsidRPr="005938A1">
              <w:rPr>
                <w:sz w:val="20"/>
              </w:rPr>
              <w:t>28.5</w:t>
            </w:r>
          </w:p>
        </w:tc>
        <w:tc>
          <w:tcPr>
            <w:tcW w:w="1418" w:type="dxa"/>
            <w:noWrap/>
          </w:tcPr>
          <w:p w14:paraId="0BCE8883" w14:textId="19701898" w:rsidR="00DF1D01" w:rsidRPr="005938A1" w:rsidRDefault="00DF1D01" w:rsidP="00DF1D01">
            <w:pPr>
              <w:contextualSpacing/>
              <w:rPr>
                <w:rFonts w:cs="Calibri Light"/>
                <w:sz w:val="20"/>
              </w:rPr>
            </w:pPr>
            <w:r w:rsidRPr="005938A1">
              <w:rPr>
                <w:rFonts w:cs="Calibri Light"/>
                <w:sz w:val="20"/>
              </w:rPr>
              <w:t>0.0425</w:t>
            </w:r>
          </w:p>
        </w:tc>
        <w:tc>
          <w:tcPr>
            <w:tcW w:w="2835" w:type="dxa"/>
            <w:noWrap/>
          </w:tcPr>
          <w:p w14:paraId="0D57B607" w14:textId="5D8D7A3E" w:rsidR="00DF1D01" w:rsidRPr="000F06DE" w:rsidRDefault="00DF1D01" w:rsidP="00DF1D01">
            <w:pPr>
              <w:contextualSpacing/>
              <w:rPr>
                <w:sz w:val="20"/>
              </w:rPr>
            </w:pPr>
            <w:r w:rsidRPr="005938A1">
              <w:rPr>
                <w:sz w:val="20"/>
              </w:rPr>
              <w:t>11.1 (other party</w:t>
            </w:r>
            <w:r w:rsidR="002D7812" w:rsidRPr="005938A1">
              <w:rPr>
                <w:sz w:val="20"/>
              </w:rPr>
              <w:t>)</w:t>
            </w:r>
          </w:p>
        </w:tc>
        <w:tc>
          <w:tcPr>
            <w:tcW w:w="1564" w:type="dxa"/>
            <w:vMerge/>
          </w:tcPr>
          <w:p w14:paraId="78EED300" w14:textId="77777777" w:rsidR="00DF1D01" w:rsidRPr="000F06DE" w:rsidRDefault="00DF1D01" w:rsidP="00DF1D01">
            <w:pPr>
              <w:contextualSpacing/>
              <w:rPr>
                <w:sz w:val="20"/>
              </w:rPr>
            </w:pPr>
          </w:p>
        </w:tc>
      </w:tr>
      <w:tr w:rsidR="00E5070D" w:rsidRPr="006C4F3B" w14:paraId="11FE0B65" w14:textId="77777777" w:rsidTr="006A3C0D">
        <w:trPr>
          <w:trHeight w:val="300"/>
          <w:jc w:val="center"/>
        </w:trPr>
        <w:tc>
          <w:tcPr>
            <w:tcW w:w="1413" w:type="dxa"/>
            <w:vMerge/>
            <w:noWrap/>
          </w:tcPr>
          <w:p w14:paraId="496174DE" w14:textId="77777777" w:rsidR="00E5070D" w:rsidRPr="00F432CE" w:rsidRDefault="00E5070D" w:rsidP="006400DB">
            <w:pPr>
              <w:contextualSpacing/>
              <w:rPr>
                <w:b/>
                <w:sz w:val="20"/>
              </w:rPr>
            </w:pPr>
          </w:p>
        </w:tc>
        <w:tc>
          <w:tcPr>
            <w:tcW w:w="1276" w:type="dxa"/>
            <w:vMerge/>
            <w:noWrap/>
          </w:tcPr>
          <w:p w14:paraId="3ACD3A79" w14:textId="77777777" w:rsidR="00E5070D" w:rsidRPr="00172025" w:rsidRDefault="00E5070D" w:rsidP="006400DB">
            <w:pPr>
              <w:contextualSpacing/>
              <w:rPr>
                <w:sz w:val="20"/>
              </w:rPr>
            </w:pPr>
          </w:p>
        </w:tc>
        <w:tc>
          <w:tcPr>
            <w:tcW w:w="1275" w:type="dxa"/>
          </w:tcPr>
          <w:p w14:paraId="6E48F4EB" w14:textId="7513227B" w:rsidR="00E5070D" w:rsidRPr="000F06DE" w:rsidRDefault="00E5070D" w:rsidP="00D136B8">
            <w:pPr>
              <w:contextualSpacing/>
              <w:rPr>
                <w:sz w:val="20"/>
              </w:rPr>
            </w:pPr>
            <w:r w:rsidRPr="000F06DE">
              <w:rPr>
                <w:sz w:val="20"/>
              </w:rPr>
              <w:t>813.8^</w:t>
            </w:r>
          </w:p>
        </w:tc>
        <w:tc>
          <w:tcPr>
            <w:tcW w:w="1418" w:type="dxa"/>
            <w:noWrap/>
          </w:tcPr>
          <w:p w14:paraId="7FE8C7B7" w14:textId="1BA527EC" w:rsidR="00E5070D" w:rsidRPr="000F06DE" w:rsidRDefault="00E5070D" w:rsidP="00D136B8">
            <w:pPr>
              <w:contextualSpacing/>
              <w:rPr>
                <w:sz w:val="20"/>
              </w:rPr>
            </w:pPr>
            <w:r w:rsidRPr="005938A1">
              <w:rPr>
                <w:rFonts w:cs="Calibri Light"/>
                <w:sz w:val="20"/>
              </w:rPr>
              <w:t>1.2130</w:t>
            </w:r>
          </w:p>
        </w:tc>
        <w:tc>
          <w:tcPr>
            <w:tcW w:w="2835" w:type="dxa"/>
            <w:noWrap/>
          </w:tcPr>
          <w:p w14:paraId="2042AA7F" w14:textId="4A56BFF6" w:rsidR="00E5070D" w:rsidRPr="000F06DE" w:rsidRDefault="00E5070D" w:rsidP="006400DB">
            <w:pPr>
              <w:contextualSpacing/>
              <w:rPr>
                <w:sz w:val="20"/>
              </w:rPr>
            </w:pPr>
            <w:r w:rsidRPr="000F06DE">
              <w:rPr>
                <w:sz w:val="20"/>
              </w:rPr>
              <w:t>318.0 (combined</w:t>
            </w:r>
            <w:r w:rsidR="00BA034E">
              <w:rPr>
                <w:sz w:val="20"/>
              </w:rPr>
              <w:t xml:space="preserve"> worldwide</w:t>
            </w:r>
            <w:r w:rsidRPr="000F06DE">
              <w:rPr>
                <w:sz w:val="20"/>
              </w:rPr>
              <w:t>)</w:t>
            </w:r>
          </w:p>
        </w:tc>
        <w:tc>
          <w:tcPr>
            <w:tcW w:w="1564" w:type="dxa"/>
            <w:vMerge/>
          </w:tcPr>
          <w:p w14:paraId="38939D15" w14:textId="77777777" w:rsidR="00E5070D" w:rsidRPr="000F06DE" w:rsidRDefault="00E5070D" w:rsidP="006400DB">
            <w:pPr>
              <w:contextualSpacing/>
              <w:rPr>
                <w:sz w:val="20"/>
              </w:rPr>
            </w:pPr>
          </w:p>
        </w:tc>
      </w:tr>
      <w:tr w:rsidR="006400DB" w:rsidRPr="006C4F3B" w14:paraId="419CAD47" w14:textId="38422DD5" w:rsidTr="006A3C0D">
        <w:trPr>
          <w:trHeight w:val="300"/>
          <w:jc w:val="center"/>
        </w:trPr>
        <w:tc>
          <w:tcPr>
            <w:tcW w:w="1413" w:type="dxa"/>
            <w:vMerge w:val="restart"/>
            <w:noWrap/>
            <w:hideMark/>
          </w:tcPr>
          <w:p w14:paraId="06372BA0" w14:textId="77777777" w:rsidR="006400DB" w:rsidRPr="00F432CE" w:rsidRDefault="006400DB" w:rsidP="006400DB">
            <w:pPr>
              <w:contextualSpacing/>
              <w:rPr>
                <w:b/>
                <w:sz w:val="20"/>
              </w:rPr>
            </w:pPr>
            <w:r w:rsidRPr="00F432CE">
              <w:rPr>
                <w:b/>
                <w:sz w:val="20"/>
              </w:rPr>
              <w:t>Japan</w:t>
            </w:r>
          </w:p>
        </w:tc>
        <w:tc>
          <w:tcPr>
            <w:tcW w:w="1276" w:type="dxa"/>
            <w:vMerge w:val="restart"/>
            <w:noWrap/>
            <w:hideMark/>
          </w:tcPr>
          <w:p w14:paraId="0D914064" w14:textId="5AC35683" w:rsidR="006400DB" w:rsidRPr="005938A1" w:rsidRDefault="006400DB" w:rsidP="006400DB">
            <w:pPr>
              <w:spacing w:before="0" w:after="0"/>
              <w:rPr>
                <w:rFonts w:cs="Calibri Light"/>
                <w:sz w:val="20"/>
              </w:rPr>
            </w:pPr>
            <w:r w:rsidRPr="005938A1">
              <w:rPr>
                <w:rFonts w:cs="Calibri Light"/>
                <w:sz w:val="20"/>
              </w:rPr>
              <w:t>6,341</w:t>
            </w:r>
          </w:p>
        </w:tc>
        <w:tc>
          <w:tcPr>
            <w:tcW w:w="1275" w:type="dxa"/>
          </w:tcPr>
          <w:p w14:paraId="185FF6B3" w14:textId="3A22BBFC" w:rsidR="006400DB" w:rsidRPr="000F06DE" w:rsidRDefault="006400DB" w:rsidP="00D136B8">
            <w:pPr>
              <w:contextualSpacing/>
              <w:rPr>
                <w:sz w:val="20"/>
              </w:rPr>
            </w:pPr>
            <w:r w:rsidRPr="000F06DE">
              <w:rPr>
                <w:sz w:val="20"/>
              </w:rPr>
              <w:t>214.3</w:t>
            </w:r>
          </w:p>
        </w:tc>
        <w:tc>
          <w:tcPr>
            <w:tcW w:w="1418" w:type="dxa"/>
            <w:noWrap/>
            <w:hideMark/>
          </w:tcPr>
          <w:p w14:paraId="3487F79C" w14:textId="5AE0A5C5" w:rsidR="006400DB" w:rsidRPr="000F06DE" w:rsidRDefault="006400DB" w:rsidP="00D136B8">
            <w:pPr>
              <w:contextualSpacing/>
              <w:rPr>
                <w:sz w:val="20"/>
              </w:rPr>
            </w:pPr>
            <w:r w:rsidRPr="005938A1">
              <w:rPr>
                <w:rFonts w:cs="Calibri Light"/>
                <w:sz w:val="20"/>
              </w:rPr>
              <w:t>0.3380</w:t>
            </w:r>
          </w:p>
        </w:tc>
        <w:tc>
          <w:tcPr>
            <w:tcW w:w="2835" w:type="dxa"/>
            <w:noWrap/>
            <w:hideMark/>
          </w:tcPr>
          <w:p w14:paraId="5F32F98E" w14:textId="0CDB9A25" w:rsidR="006400DB" w:rsidRPr="000F06DE" w:rsidRDefault="006400DB" w:rsidP="006400DB">
            <w:pPr>
              <w:contextualSpacing/>
              <w:rPr>
                <w:sz w:val="20"/>
              </w:rPr>
            </w:pPr>
            <w:r w:rsidRPr="000F06DE">
              <w:rPr>
                <w:sz w:val="20"/>
              </w:rPr>
              <w:t>88.6 (</w:t>
            </w:r>
            <w:r w:rsidR="003C5539">
              <w:rPr>
                <w:sz w:val="20"/>
              </w:rPr>
              <w:t>acquirer</w:t>
            </w:r>
            <w:r w:rsidRPr="000F06DE">
              <w:rPr>
                <w:sz w:val="20"/>
              </w:rPr>
              <w:t>)</w:t>
            </w:r>
          </w:p>
        </w:tc>
        <w:tc>
          <w:tcPr>
            <w:tcW w:w="1564" w:type="dxa"/>
            <w:vMerge w:val="restart"/>
          </w:tcPr>
          <w:p w14:paraId="670B5B2E" w14:textId="385ACA9E" w:rsidR="006400DB" w:rsidRPr="000F06DE" w:rsidRDefault="006400DB" w:rsidP="006400DB">
            <w:pPr>
              <w:contextualSpacing/>
              <w:rPr>
                <w:sz w:val="20"/>
              </w:rPr>
            </w:pPr>
            <w:r w:rsidRPr="000F06DE">
              <w:rPr>
                <w:sz w:val="20"/>
              </w:rPr>
              <w:t>306 (FY2022)</w:t>
            </w:r>
          </w:p>
        </w:tc>
      </w:tr>
      <w:tr w:rsidR="006400DB" w:rsidRPr="006C4F3B" w14:paraId="0FEC92F4" w14:textId="0E067577" w:rsidTr="006A3C0D">
        <w:trPr>
          <w:trHeight w:val="300"/>
          <w:jc w:val="center"/>
        </w:trPr>
        <w:tc>
          <w:tcPr>
            <w:tcW w:w="1413" w:type="dxa"/>
            <w:vMerge/>
            <w:noWrap/>
          </w:tcPr>
          <w:p w14:paraId="1003FF5C" w14:textId="77777777" w:rsidR="006400DB" w:rsidRPr="00F432CE" w:rsidRDefault="006400DB" w:rsidP="006400DB">
            <w:pPr>
              <w:contextualSpacing/>
              <w:rPr>
                <w:b/>
                <w:sz w:val="20"/>
              </w:rPr>
            </w:pPr>
          </w:p>
        </w:tc>
        <w:tc>
          <w:tcPr>
            <w:tcW w:w="1276" w:type="dxa"/>
            <w:vMerge/>
            <w:noWrap/>
          </w:tcPr>
          <w:p w14:paraId="04682E36" w14:textId="77777777" w:rsidR="006400DB" w:rsidRPr="00172025" w:rsidRDefault="006400DB" w:rsidP="006400DB">
            <w:pPr>
              <w:contextualSpacing/>
              <w:rPr>
                <w:sz w:val="20"/>
              </w:rPr>
            </w:pPr>
          </w:p>
        </w:tc>
        <w:tc>
          <w:tcPr>
            <w:tcW w:w="1275" w:type="dxa"/>
          </w:tcPr>
          <w:p w14:paraId="2BC19387" w14:textId="285457D9" w:rsidR="006400DB" w:rsidRPr="00172025" w:rsidRDefault="006400DB" w:rsidP="00D136B8">
            <w:pPr>
              <w:contextualSpacing/>
              <w:rPr>
                <w:sz w:val="20"/>
              </w:rPr>
            </w:pPr>
            <w:r w:rsidRPr="00172025">
              <w:rPr>
                <w:sz w:val="20"/>
              </w:rPr>
              <w:t>53.6</w:t>
            </w:r>
          </w:p>
        </w:tc>
        <w:tc>
          <w:tcPr>
            <w:tcW w:w="1418" w:type="dxa"/>
            <w:noWrap/>
          </w:tcPr>
          <w:p w14:paraId="3C456794" w14:textId="135D30FD" w:rsidR="006400DB" w:rsidRPr="005938A1" w:rsidRDefault="006400DB" w:rsidP="00D136B8">
            <w:pPr>
              <w:contextualSpacing/>
              <w:rPr>
                <w:sz w:val="20"/>
              </w:rPr>
            </w:pPr>
            <w:r w:rsidRPr="005938A1">
              <w:rPr>
                <w:rFonts w:cs="Calibri Light"/>
                <w:sz w:val="20"/>
              </w:rPr>
              <w:t>0.0845</w:t>
            </w:r>
          </w:p>
        </w:tc>
        <w:tc>
          <w:tcPr>
            <w:tcW w:w="2835" w:type="dxa"/>
            <w:noWrap/>
          </w:tcPr>
          <w:p w14:paraId="4DA361D2" w14:textId="5FB52D3E" w:rsidR="006400DB" w:rsidRPr="00172025" w:rsidRDefault="006400DB" w:rsidP="006400DB">
            <w:pPr>
              <w:contextualSpacing/>
              <w:rPr>
                <w:sz w:val="20"/>
              </w:rPr>
            </w:pPr>
            <w:r w:rsidRPr="00172025">
              <w:rPr>
                <w:sz w:val="20"/>
              </w:rPr>
              <w:t>22.2 (</w:t>
            </w:r>
            <w:r w:rsidR="003C5539">
              <w:rPr>
                <w:sz w:val="20"/>
              </w:rPr>
              <w:t>target</w:t>
            </w:r>
            <w:r w:rsidRPr="00172025">
              <w:rPr>
                <w:sz w:val="20"/>
              </w:rPr>
              <w:t>)</w:t>
            </w:r>
          </w:p>
        </w:tc>
        <w:tc>
          <w:tcPr>
            <w:tcW w:w="1564" w:type="dxa"/>
            <w:vMerge/>
          </w:tcPr>
          <w:p w14:paraId="1458E013" w14:textId="77777777" w:rsidR="006400DB" w:rsidRPr="005938A1" w:rsidRDefault="006400DB" w:rsidP="006400DB">
            <w:pPr>
              <w:contextualSpacing/>
              <w:rPr>
                <w:sz w:val="20"/>
              </w:rPr>
            </w:pPr>
          </w:p>
        </w:tc>
      </w:tr>
      <w:tr w:rsidR="006400DB" w:rsidRPr="006C4F3B" w14:paraId="71CBFF96" w14:textId="0E7D2DBE" w:rsidTr="006A3C0D">
        <w:trPr>
          <w:trHeight w:val="300"/>
          <w:jc w:val="center"/>
        </w:trPr>
        <w:tc>
          <w:tcPr>
            <w:tcW w:w="1413" w:type="dxa"/>
            <w:vMerge w:val="restart"/>
            <w:noWrap/>
            <w:hideMark/>
          </w:tcPr>
          <w:p w14:paraId="44AF39FB" w14:textId="6648C0C8" w:rsidR="006400DB" w:rsidRPr="00F432CE" w:rsidRDefault="006400DB" w:rsidP="006400DB">
            <w:pPr>
              <w:contextualSpacing/>
              <w:rPr>
                <w:b/>
                <w:sz w:val="20"/>
              </w:rPr>
            </w:pPr>
            <w:r w:rsidRPr="00F432CE">
              <w:rPr>
                <w:b/>
                <w:sz w:val="20"/>
              </w:rPr>
              <w:t>France</w:t>
            </w:r>
          </w:p>
        </w:tc>
        <w:tc>
          <w:tcPr>
            <w:tcW w:w="1276" w:type="dxa"/>
            <w:vMerge w:val="restart"/>
            <w:noWrap/>
            <w:hideMark/>
          </w:tcPr>
          <w:p w14:paraId="4D989E20" w14:textId="4AF0C467" w:rsidR="006400DB" w:rsidRPr="005938A1" w:rsidRDefault="006400DB" w:rsidP="006400DB">
            <w:pPr>
              <w:spacing w:before="0" w:after="0"/>
              <w:rPr>
                <w:rFonts w:cs="Calibri Light"/>
                <w:sz w:val="20"/>
              </w:rPr>
            </w:pPr>
            <w:r w:rsidRPr="005938A1">
              <w:rPr>
                <w:rFonts w:cs="Calibri Light"/>
                <w:sz w:val="20"/>
              </w:rPr>
              <w:t>4,563</w:t>
            </w:r>
          </w:p>
        </w:tc>
        <w:tc>
          <w:tcPr>
            <w:tcW w:w="1275" w:type="dxa"/>
          </w:tcPr>
          <w:p w14:paraId="12746A95" w14:textId="4539E803" w:rsidR="006400DB" w:rsidRPr="00172025" w:rsidRDefault="006400DB" w:rsidP="00D136B8">
            <w:pPr>
              <w:contextualSpacing/>
              <w:rPr>
                <w:sz w:val="20"/>
              </w:rPr>
            </w:pPr>
            <w:r w:rsidRPr="00172025">
              <w:rPr>
                <w:sz w:val="20"/>
              </w:rPr>
              <w:t>81.4</w:t>
            </w:r>
          </w:p>
        </w:tc>
        <w:tc>
          <w:tcPr>
            <w:tcW w:w="1418" w:type="dxa"/>
            <w:noWrap/>
            <w:hideMark/>
          </w:tcPr>
          <w:p w14:paraId="72F70937" w14:textId="53F3B7C5" w:rsidR="006400DB" w:rsidRPr="005938A1" w:rsidRDefault="006400DB" w:rsidP="00D136B8">
            <w:pPr>
              <w:contextualSpacing/>
              <w:rPr>
                <w:sz w:val="20"/>
              </w:rPr>
            </w:pPr>
            <w:r w:rsidRPr="005938A1">
              <w:rPr>
                <w:rFonts w:cs="Calibri Light"/>
                <w:sz w:val="20"/>
              </w:rPr>
              <w:t>0.1783</w:t>
            </w:r>
          </w:p>
        </w:tc>
        <w:tc>
          <w:tcPr>
            <w:tcW w:w="2835" w:type="dxa"/>
            <w:noWrap/>
            <w:hideMark/>
          </w:tcPr>
          <w:p w14:paraId="0A2969C9" w14:textId="6AA4EBF3" w:rsidR="006400DB" w:rsidRPr="00172025" w:rsidRDefault="006400DB" w:rsidP="006400DB">
            <w:pPr>
              <w:contextualSpacing/>
              <w:rPr>
                <w:sz w:val="20"/>
              </w:rPr>
            </w:pPr>
            <w:r w:rsidRPr="00172025">
              <w:rPr>
                <w:sz w:val="20"/>
              </w:rPr>
              <w:t xml:space="preserve">46.8 </w:t>
            </w:r>
            <w:r w:rsidR="003E3D03">
              <w:rPr>
                <w:sz w:val="20"/>
              </w:rPr>
              <w:t>(at least two parties)</w:t>
            </w:r>
          </w:p>
        </w:tc>
        <w:tc>
          <w:tcPr>
            <w:tcW w:w="1564" w:type="dxa"/>
            <w:vMerge w:val="restart"/>
          </w:tcPr>
          <w:p w14:paraId="69BB5CDE" w14:textId="1AEB0CD9" w:rsidR="006400DB" w:rsidRPr="00B40408" w:rsidRDefault="006400DB" w:rsidP="006400DB">
            <w:pPr>
              <w:contextualSpacing/>
              <w:rPr>
                <w:sz w:val="20"/>
              </w:rPr>
            </w:pPr>
            <w:r w:rsidRPr="00E31B6D">
              <w:rPr>
                <w:sz w:val="20"/>
              </w:rPr>
              <w:t>26</w:t>
            </w:r>
            <w:r w:rsidR="00AC034D" w:rsidRPr="00E31B6D">
              <w:rPr>
                <w:sz w:val="20"/>
              </w:rPr>
              <w:t>6</w:t>
            </w:r>
            <w:r w:rsidR="00F72CCD" w:rsidRPr="00F62AFE">
              <w:rPr>
                <w:b/>
                <w:sz w:val="20"/>
                <w:vertAlign w:val="superscript"/>
              </w:rPr>
              <w:t>#</w:t>
            </w:r>
          </w:p>
        </w:tc>
      </w:tr>
      <w:tr w:rsidR="006400DB" w:rsidRPr="006C4F3B" w14:paraId="1237C3DC" w14:textId="69E3F918" w:rsidTr="006A3C0D">
        <w:trPr>
          <w:trHeight w:val="300"/>
          <w:jc w:val="center"/>
        </w:trPr>
        <w:tc>
          <w:tcPr>
            <w:tcW w:w="1413" w:type="dxa"/>
            <w:vMerge/>
            <w:noWrap/>
          </w:tcPr>
          <w:p w14:paraId="1D0369D7" w14:textId="77777777" w:rsidR="006400DB" w:rsidRPr="00F432CE" w:rsidRDefault="006400DB" w:rsidP="006400DB">
            <w:pPr>
              <w:contextualSpacing/>
              <w:rPr>
                <w:b/>
                <w:sz w:val="20"/>
              </w:rPr>
            </w:pPr>
          </w:p>
        </w:tc>
        <w:tc>
          <w:tcPr>
            <w:tcW w:w="1276" w:type="dxa"/>
            <w:vMerge/>
            <w:noWrap/>
          </w:tcPr>
          <w:p w14:paraId="27001CDF" w14:textId="77777777" w:rsidR="006400DB" w:rsidRPr="00172025" w:rsidRDefault="006400DB" w:rsidP="006400DB">
            <w:pPr>
              <w:contextualSpacing/>
              <w:rPr>
                <w:sz w:val="20"/>
              </w:rPr>
            </w:pPr>
          </w:p>
        </w:tc>
        <w:tc>
          <w:tcPr>
            <w:tcW w:w="1275" w:type="dxa"/>
          </w:tcPr>
          <w:p w14:paraId="4A606097" w14:textId="3425F355" w:rsidR="006400DB" w:rsidRPr="00172025" w:rsidRDefault="006400DB" w:rsidP="00D136B8">
            <w:pPr>
              <w:contextualSpacing/>
              <w:rPr>
                <w:sz w:val="20"/>
              </w:rPr>
            </w:pPr>
            <w:r w:rsidRPr="00172025">
              <w:rPr>
                <w:sz w:val="20"/>
              </w:rPr>
              <w:t>244.1^</w:t>
            </w:r>
          </w:p>
        </w:tc>
        <w:tc>
          <w:tcPr>
            <w:tcW w:w="1418" w:type="dxa"/>
            <w:noWrap/>
          </w:tcPr>
          <w:p w14:paraId="6E6668EE" w14:textId="2555965A" w:rsidR="006400DB" w:rsidRPr="00B40408" w:rsidRDefault="006400DB" w:rsidP="00D136B8">
            <w:pPr>
              <w:contextualSpacing/>
              <w:rPr>
                <w:sz w:val="20"/>
              </w:rPr>
            </w:pPr>
            <w:r w:rsidRPr="00B40408">
              <w:rPr>
                <w:rFonts w:cs="Calibri Light"/>
                <w:sz w:val="20"/>
              </w:rPr>
              <w:t>0.5350</w:t>
            </w:r>
          </w:p>
        </w:tc>
        <w:tc>
          <w:tcPr>
            <w:tcW w:w="2835" w:type="dxa"/>
            <w:noWrap/>
          </w:tcPr>
          <w:p w14:paraId="69D457C3" w14:textId="36D5C723" w:rsidR="006400DB" w:rsidRPr="00172025" w:rsidRDefault="006400DB" w:rsidP="006400DB">
            <w:pPr>
              <w:contextualSpacing/>
              <w:rPr>
                <w:sz w:val="20"/>
              </w:rPr>
            </w:pPr>
            <w:r w:rsidRPr="00172025">
              <w:rPr>
                <w:sz w:val="20"/>
              </w:rPr>
              <w:t>140.3 (combined</w:t>
            </w:r>
            <w:r w:rsidR="00522357">
              <w:rPr>
                <w:sz w:val="20"/>
              </w:rPr>
              <w:t xml:space="preserve"> worldwide</w:t>
            </w:r>
            <w:r w:rsidRPr="00172025">
              <w:rPr>
                <w:sz w:val="20"/>
              </w:rPr>
              <w:t>)</w:t>
            </w:r>
          </w:p>
        </w:tc>
        <w:tc>
          <w:tcPr>
            <w:tcW w:w="1564" w:type="dxa"/>
            <w:vMerge/>
          </w:tcPr>
          <w:p w14:paraId="20751753" w14:textId="77777777" w:rsidR="006400DB" w:rsidRPr="00150572" w:rsidRDefault="006400DB" w:rsidP="006400DB">
            <w:pPr>
              <w:contextualSpacing/>
              <w:rPr>
                <w:sz w:val="20"/>
              </w:rPr>
            </w:pPr>
          </w:p>
        </w:tc>
      </w:tr>
      <w:tr w:rsidR="006400DB" w:rsidRPr="006C4F3B" w14:paraId="215FF6DA" w14:textId="3F0B3533" w:rsidTr="006A3C0D">
        <w:trPr>
          <w:trHeight w:val="300"/>
          <w:jc w:val="center"/>
        </w:trPr>
        <w:tc>
          <w:tcPr>
            <w:tcW w:w="1413" w:type="dxa"/>
            <w:vMerge w:val="restart"/>
            <w:noWrap/>
            <w:hideMark/>
          </w:tcPr>
          <w:p w14:paraId="3A1906D8" w14:textId="49478D5F" w:rsidR="006400DB" w:rsidRPr="00F432CE" w:rsidRDefault="006400DB" w:rsidP="006400DB">
            <w:pPr>
              <w:contextualSpacing/>
              <w:rPr>
                <w:b/>
                <w:sz w:val="20"/>
              </w:rPr>
            </w:pPr>
            <w:r w:rsidRPr="00F432CE">
              <w:rPr>
                <w:b/>
                <w:sz w:val="20"/>
              </w:rPr>
              <w:t>Italy</w:t>
            </w:r>
          </w:p>
        </w:tc>
        <w:tc>
          <w:tcPr>
            <w:tcW w:w="1276" w:type="dxa"/>
            <w:vMerge w:val="restart"/>
            <w:noWrap/>
            <w:hideMark/>
          </w:tcPr>
          <w:p w14:paraId="3E68DEB9" w14:textId="4FAE00BC" w:rsidR="006400DB" w:rsidRPr="00B40408" w:rsidRDefault="006400DB" w:rsidP="006400DB">
            <w:pPr>
              <w:spacing w:before="0" w:after="0"/>
              <w:rPr>
                <w:rFonts w:cs="Calibri Light"/>
                <w:sz w:val="20"/>
              </w:rPr>
            </w:pPr>
            <w:r w:rsidRPr="00B40408">
              <w:rPr>
                <w:rFonts w:cs="Calibri Light"/>
                <w:sz w:val="20"/>
              </w:rPr>
              <w:t>3,395</w:t>
            </w:r>
          </w:p>
        </w:tc>
        <w:tc>
          <w:tcPr>
            <w:tcW w:w="1275" w:type="dxa"/>
          </w:tcPr>
          <w:p w14:paraId="1ECCEDD3" w14:textId="7FA3A7AC" w:rsidR="006400DB" w:rsidRPr="00172025" w:rsidRDefault="006400DB" w:rsidP="00D136B8">
            <w:pPr>
              <w:contextualSpacing/>
              <w:rPr>
                <w:sz w:val="20"/>
              </w:rPr>
            </w:pPr>
            <w:r w:rsidRPr="00172025">
              <w:rPr>
                <w:sz w:val="20"/>
              </w:rPr>
              <w:t xml:space="preserve">52.1 </w:t>
            </w:r>
          </w:p>
        </w:tc>
        <w:tc>
          <w:tcPr>
            <w:tcW w:w="1418" w:type="dxa"/>
            <w:noWrap/>
            <w:hideMark/>
          </w:tcPr>
          <w:p w14:paraId="5835262A" w14:textId="4303447F" w:rsidR="006400DB" w:rsidRPr="00B40408" w:rsidRDefault="006400DB" w:rsidP="00D136B8">
            <w:pPr>
              <w:contextualSpacing/>
              <w:rPr>
                <w:sz w:val="20"/>
              </w:rPr>
            </w:pPr>
            <w:r w:rsidRPr="00B40408">
              <w:rPr>
                <w:rFonts w:cs="Calibri Light"/>
                <w:sz w:val="20"/>
              </w:rPr>
              <w:t>0.1534</w:t>
            </w:r>
          </w:p>
        </w:tc>
        <w:tc>
          <w:tcPr>
            <w:tcW w:w="2835" w:type="dxa"/>
            <w:noWrap/>
            <w:hideMark/>
          </w:tcPr>
          <w:p w14:paraId="0A05F3A0" w14:textId="1320FDF1" w:rsidR="006400DB" w:rsidRPr="00172025" w:rsidRDefault="006400DB" w:rsidP="006400DB">
            <w:pPr>
              <w:contextualSpacing/>
              <w:rPr>
                <w:sz w:val="20"/>
              </w:rPr>
            </w:pPr>
            <w:r w:rsidRPr="00172025">
              <w:rPr>
                <w:sz w:val="20"/>
              </w:rPr>
              <w:t>40.2</w:t>
            </w:r>
            <w:r w:rsidR="00387442">
              <w:rPr>
                <w:sz w:val="20"/>
              </w:rPr>
              <w:t xml:space="preserve"> (at least two parties)</w:t>
            </w:r>
          </w:p>
        </w:tc>
        <w:tc>
          <w:tcPr>
            <w:tcW w:w="1564" w:type="dxa"/>
            <w:vMerge w:val="restart"/>
          </w:tcPr>
          <w:p w14:paraId="49073998" w14:textId="65F1A0B3" w:rsidR="006400DB" w:rsidRPr="00B40408" w:rsidRDefault="006400DB" w:rsidP="006400DB">
            <w:pPr>
              <w:contextualSpacing/>
              <w:rPr>
                <w:sz w:val="20"/>
              </w:rPr>
            </w:pPr>
            <w:r w:rsidRPr="006400DB">
              <w:rPr>
                <w:sz w:val="20"/>
              </w:rPr>
              <w:t>77</w:t>
            </w:r>
            <w:r w:rsidR="00F72CCD" w:rsidRPr="00F62AFE">
              <w:rPr>
                <w:b/>
                <w:sz w:val="20"/>
                <w:vertAlign w:val="superscript"/>
              </w:rPr>
              <w:t>#</w:t>
            </w:r>
          </w:p>
        </w:tc>
      </w:tr>
      <w:tr w:rsidR="006400DB" w:rsidRPr="006C4F3B" w14:paraId="374760BC" w14:textId="61E35873" w:rsidTr="006A3C0D">
        <w:trPr>
          <w:trHeight w:val="300"/>
          <w:jc w:val="center"/>
        </w:trPr>
        <w:tc>
          <w:tcPr>
            <w:tcW w:w="1413" w:type="dxa"/>
            <w:vMerge/>
            <w:noWrap/>
          </w:tcPr>
          <w:p w14:paraId="524EAB30" w14:textId="77777777" w:rsidR="006400DB" w:rsidRPr="00F432CE" w:rsidRDefault="006400DB" w:rsidP="006400DB">
            <w:pPr>
              <w:contextualSpacing/>
              <w:rPr>
                <w:b/>
                <w:sz w:val="20"/>
              </w:rPr>
            </w:pPr>
          </w:p>
        </w:tc>
        <w:tc>
          <w:tcPr>
            <w:tcW w:w="1276" w:type="dxa"/>
            <w:vMerge/>
            <w:noWrap/>
          </w:tcPr>
          <w:p w14:paraId="2F0A3E95" w14:textId="77777777" w:rsidR="006400DB" w:rsidRPr="00172025" w:rsidRDefault="006400DB" w:rsidP="006400DB">
            <w:pPr>
              <w:contextualSpacing/>
              <w:rPr>
                <w:sz w:val="20"/>
              </w:rPr>
            </w:pPr>
          </w:p>
        </w:tc>
        <w:tc>
          <w:tcPr>
            <w:tcW w:w="1275" w:type="dxa"/>
          </w:tcPr>
          <w:p w14:paraId="370FB46B" w14:textId="3B654E5D" w:rsidR="006400DB" w:rsidRPr="00172025" w:rsidRDefault="006400DB" w:rsidP="00D136B8">
            <w:pPr>
              <w:contextualSpacing/>
              <w:rPr>
                <w:sz w:val="20"/>
              </w:rPr>
            </w:pPr>
            <w:r w:rsidRPr="00172025">
              <w:rPr>
                <w:sz w:val="20"/>
              </w:rPr>
              <w:t>865.9^</w:t>
            </w:r>
          </w:p>
        </w:tc>
        <w:tc>
          <w:tcPr>
            <w:tcW w:w="1418" w:type="dxa"/>
            <w:noWrap/>
          </w:tcPr>
          <w:p w14:paraId="708941FD" w14:textId="7669CD0A" w:rsidR="006400DB" w:rsidRPr="00B40408" w:rsidRDefault="006400DB" w:rsidP="00D136B8">
            <w:pPr>
              <w:contextualSpacing/>
              <w:rPr>
                <w:sz w:val="20"/>
              </w:rPr>
            </w:pPr>
            <w:r w:rsidRPr="00B40408">
              <w:rPr>
                <w:rFonts w:cs="Calibri Light"/>
                <w:sz w:val="20"/>
              </w:rPr>
              <w:t>2.5506</w:t>
            </w:r>
          </w:p>
        </w:tc>
        <w:tc>
          <w:tcPr>
            <w:tcW w:w="2835" w:type="dxa"/>
            <w:noWrap/>
          </w:tcPr>
          <w:p w14:paraId="5CB56DEF" w14:textId="59EC146B" w:rsidR="006400DB" w:rsidRPr="00172025" w:rsidRDefault="006400DB" w:rsidP="006400DB">
            <w:pPr>
              <w:contextualSpacing/>
              <w:rPr>
                <w:sz w:val="20"/>
              </w:rPr>
            </w:pPr>
            <w:r w:rsidRPr="00172025">
              <w:rPr>
                <w:sz w:val="20"/>
              </w:rPr>
              <w:t>668.7 (combined)</w:t>
            </w:r>
          </w:p>
        </w:tc>
        <w:tc>
          <w:tcPr>
            <w:tcW w:w="1564" w:type="dxa"/>
            <w:vMerge/>
          </w:tcPr>
          <w:p w14:paraId="42BF4178" w14:textId="77777777" w:rsidR="006400DB" w:rsidRPr="00B40408" w:rsidRDefault="006400DB" w:rsidP="006400DB">
            <w:pPr>
              <w:contextualSpacing/>
              <w:rPr>
                <w:sz w:val="20"/>
              </w:rPr>
            </w:pPr>
          </w:p>
        </w:tc>
      </w:tr>
      <w:tr w:rsidR="006400DB" w:rsidRPr="006C4F3B" w14:paraId="59ED570A" w14:textId="77777777" w:rsidTr="006A3C0D">
        <w:trPr>
          <w:trHeight w:val="300"/>
          <w:jc w:val="center"/>
        </w:trPr>
        <w:tc>
          <w:tcPr>
            <w:tcW w:w="1413" w:type="dxa"/>
            <w:vMerge w:val="restart"/>
            <w:noWrap/>
          </w:tcPr>
          <w:p w14:paraId="001C415B" w14:textId="3E469F59" w:rsidR="006400DB" w:rsidRPr="00F432CE" w:rsidRDefault="006400DB" w:rsidP="006400DB">
            <w:pPr>
              <w:contextualSpacing/>
              <w:rPr>
                <w:b/>
                <w:sz w:val="20"/>
              </w:rPr>
            </w:pPr>
            <w:r w:rsidRPr="00F432CE">
              <w:rPr>
                <w:b/>
                <w:sz w:val="20"/>
              </w:rPr>
              <w:t>Canada</w:t>
            </w:r>
          </w:p>
        </w:tc>
        <w:tc>
          <w:tcPr>
            <w:tcW w:w="1276" w:type="dxa"/>
            <w:vMerge w:val="restart"/>
            <w:noWrap/>
          </w:tcPr>
          <w:p w14:paraId="5703E419" w14:textId="19162516" w:rsidR="006400DB" w:rsidRPr="00B40408" w:rsidRDefault="006400DB" w:rsidP="006400DB">
            <w:pPr>
              <w:spacing w:before="0" w:after="0"/>
              <w:rPr>
                <w:rFonts w:cs="Calibri Light"/>
                <w:sz w:val="20"/>
              </w:rPr>
            </w:pPr>
            <w:r w:rsidRPr="00B40408">
              <w:rPr>
                <w:rFonts w:cs="Calibri Light"/>
                <w:sz w:val="20"/>
              </w:rPr>
              <w:t>3,221</w:t>
            </w:r>
          </w:p>
        </w:tc>
        <w:tc>
          <w:tcPr>
            <w:tcW w:w="1275" w:type="dxa"/>
          </w:tcPr>
          <w:p w14:paraId="4B527B15" w14:textId="3E759A24" w:rsidR="006400DB" w:rsidRPr="00172025" w:rsidRDefault="006400DB" w:rsidP="00D136B8">
            <w:pPr>
              <w:contextualSpacing/>
              <w:rPr>
                <w:sz w:val="20"/>
              </w:rPr>
            </w:pPr>
            <w:r w:rsidRPr="00172025">
              <w:rPr>
                <w:sz w:val="20"/>
              </w:rPr>
              <w:t>103.7</w:t>
            </w:r>
          </w:p>
        </w:tc>
        <w:tc>
          <w:tcPr>
            <w:tcW w:w="1418" w:type="dxa"/>
            <w:noWrap/>
          </w:tcPr>
          <w:p w14:paraId="3648C15A" w14:textId="1B0725E9" w:rsidR="006400DB" w:rsidRPr="00B40408" w:rsidRDefault="006400DB" w:rsidP="00D136B8">
            <w:pPr>
              <w:contextualSpacing/>
              <w:rPr>
                <w:sz w:val="20"/>
              </w:rPr>
            </w:pPr>
            <w:r w:rsidRPr="00B40408">
              <w:rPr>
                <w:rFonts w:cs="Calibri Light"/>
                <w:sz w:val="20"/>
              </w:rPr>
              <w:t>0.3221</w:t>
            </w:r>
          </w:p>
        </w:tc>
        <w:tc>
          <w:tcPr>
            <w:tcW w:w="2835" w:type="dxa"/>
            <w:noWrap/>
          </w:tcPr>
          <w:p w14:paraId="202E62AE" w14:textId="221E1E14" w:rsidR="006400DB" w:rsidRPr="00172025" w:rsidRDefault="006400DB" w:rsidP="006400DB">
            <w:pPr>
              <w:contextualSpacing/>
              <w:rPr>
                <w:sz w:val="20"/>
              </w:rPr>
            </w:pPr>
            <w:r w:rsidRPr="00172025">
              <w:rPr>
                <w:sz w:val="20"/>
              </w:rPr>
              <w:t>84.4</w:t>
            </w:r>
            <w:r w:rsidR="00A3189C">
              <w:rPr>
                <w:sz w:val="20"/>
              </w:rPr>
              <w:t xml:space="preserve"> (target)</w:t>
            </w:r>
          </w:p>
        </w:tc>
        <w:tc>
          <w:tcPr>
            <w:tcW w:w="1564" w:type="dxa"/>
            <w:vMerge w:val="restart"/>
          </w:tcPr>
          <w:p w14:paraId="2E8C5D8B" w14:textId="42E78C8F" w:rsidR="006400DB" w:rsidRPr="006400DB" w:rsidRDefault="006400DB" w:rsidP="006400DB">
            <w:pPr>
              <w:contextualSpacing/>
              <w:rPr>
                <w:sz w:val="20"/>
              </w:rPr>
            </w:pPr>
            <w:r w:rsidRPr="006400DB">
              <w:rPr>
                <w:sz w:val="20"/>
              </w:rPr>
              <w:t>208</w:t>
            </w:r>
          </w:p>
        </w:tc>
      </w:tr>
      <w:tr w:rsidR="006400DB" w:rsidRPr="006C4F3B" w14:paraId="246030F1" w14:textId="77777777" w:rsidTr="006A3C0D">
        <w:trPr>
          <w:trHeight w:val="300"/>
          <w:jc w:val="center"/>
        </w:trPr>
        <w:tc>
          <w:tcPr>
            <w:tcW w:w="1413" w:type="dxa"/>
            <w:vMerge/>
            <w:noWrap/>
          </w:tcPr>
          <w:p w14:paraId="10ECE1DF" w14:textId="51D1F902" w:rsidR="006400DB" w:rsidRPr="00F432CE" w:rsidRDefault="006400DB" w:rsidP="006400DB">
            <w:pPr>
              <w:contextualSpacing/>
              <w:rPr>
                <w:b/>
                <w:sz w:val="20"/>
              </w:rPr>
            </w:pPr>
          </w:p>
        </w:tc>
        <w:tc>
          <w:tcPr>
            <w:tcW w:w="1276" w:type="dxa"/>
            <w:vMerge/>
            <w:noWrap/>
          </w:tcPr>
          <w:p w14:paraId="6AA1D81D" w14:textId="53492916" w:rsidR="006400DB" w:rsidRPr="00172025" w:rsidRDefault="006400DB" w:rsidP="006400DB">
            <w:pPr>
              <w:contextualSpacing/>
              <w:rPr>
                <w:sz w:val="20"/>
              </w:rPr>
            </w:pPr>
          </w:p>
        </w:tc>
        <w:tc>
          <w:tcPr>
            <w:tcW w:w="1275" w:type="dxa"/>
          </w:tcPr>
          <w:p w14:paraId="5DECC1E6" w14:textId="6C3B75D1" w:rsidR="006400DB" w:rsidRPr="00172025" w:rsidRDefault="006400DB" w:rsidP="00D136B8">
            <w:pPr>
              <w:contextualSpacing/>
              <w:rPr>
                <w:sz w:val="20"/>
              </w:rPr>
            </w:pPr>
            <w:r w:rsidRPr="00172025">
              <w:rPr>
                <w:sz w:val="20"/>
              </w:rPr>
              <w:t>446.2^</w:t>
            </w:r>
          </w:p>
        </w:tc>
        <w:tc>
          <w:tcPr>
            <w:tcW w:w="1418" w:type="dxa"/>
            <w:noWrap/>
          </w:tcPr>
          <w:p w14:paraId="5ED78DF0" w14:textId="2911EF2A" w:rsidR="006400DB" w:rsidRPr="00B40408" w:rsidRDefault="006400DB" w:rsidP="00D136B8">
            <w:pPr>
              <w:contextualSpacing/>
              <w:rPr>
                <w:sz w:val="20"/>
              </w:rPr>
            </w:pPr>
            <w:r w:rsidRPr="00B40408">
              <w:rPr>
                <w:rFonts w:cs="Calibri Light"/>
                <w:sz w:val="20"/>
              </w:rPr>
              <w:t>1.3853</w:t>
            </w:r>
          </w:p>
        </w:tc>
        <w:tc>
          <w:tcPr>
            <w:tcW w:w="2835" w:type="dxa"/>
            <w:noWrap/>
          </w:tcPr>
          <w:p w14:paraId="0E6D13EC" w14:textId="7F5B979B" w:rsidR="006400DB" w:rsidRPr="00172025" w:rsidRDefault="006400DB" w:rsidP="006400DB">
            <w:pPr>
              <w:contextualSpacing/>
              <w:rPr>
                <w:sz w:val="20"/>
              </w:rPr>
            </w:pPr>
            <w:r w:rsidRPr="00172025">
              <w:rPr>
                <w:sz w:val="20"/>
              </w:rPr>
              <w:t>363.2</w:t>
            </w:r>
            <w:r w:rsidRPr="00172025" w:rsidDel="00C31470">
              <w:rPr>
                <w:sz w:val="20"/>
              </w:rPr>
              <w:t xml:space="preserve"> </w:t>
            </w:r>
            <w:r w:rsidRPr="00172025">
              <w:rPr>
                <w:sz w:val="20"/>
              </w:rPr>
              <w:t>(combined)</w:t>
            </w:r>
          </w:p>
        </w:tc>
        <w:tc>
          <w:tcPr>
            <w:tcW w:w="1564" w:type="dxa"/>
            <w:vMerge/>
          </w:tcPr>
          <w:p w14:paraId="09A1EF26" w14:textId="4E793157" w:rsidR="006400DB" w:rsidRPr="00B40408" w:rsidRDefault="006400DB" w:rsidP="006400DB">
            <w:pPr>
              <w:contextualSpacing/>
              <w:rPr>
                <w:sz w:val="20"/>
              </w:rPr>
            </w:pPr>
          </w:p>
        </w:tc>
      </w:tr>
      <w:tr w:rsidR="006400DB" w:rsidRPr="006C4F3B" w14:paraId="5B271DAD" w14:textId="54E9C29B" w:rsidTr="006A3C0D">
        <w:trPr>
          <w:trHeight w:val="300"/>
          <w:jc w:val="center"/>
        </w:trPr>
        <w:tc>
          <w:tcPr>
            <w:tcW w:w="1413" w:type="dxa"/>
            <w:vMerge w:val="restart"/>
            <w:noWrap/>
          </w:tcPr>
          <w:p w14:paraId="68DDD66E" w14:textId="0974ED4C" w:rsidR="006400DB" w:rsidRPr="00F432CE" w:rsidRDefault="006400DB" w:rsidP="006400DB">
            <w:pPr>
              <w:contextualSpacing/>
              <w:rPr>
                <w:b/>
                <w:sz w:val="20"/>
              </w:rPr>
            </w:pPr>
            <w:r w:rsidRPr="00F432CE">
              <w:rPr>
                <w:b/>
                <w:sz w:val="20"/>
              </w:rPr>
              <w:t>South Korea</w:t>
            </w:r>
          </w:p>
        </w:tc>
        <w:tc>
          <w:tcPr>
            <w:tcW w:w="1276" w:type="dxa"/>
            <w:vMerge w:val="restart"/>
            <w:noWrap/>
          </w:tcPr>
          <w:p w14:paraId="196DF0B0" w14:textId="4A2F42E8" w:rsidR="006400DB" w:rsidRPr="00B40408" w:rsidRDefault="006400DB" w:rsidP="006400DB">
            <w:pPr>
              <w:spacing w:before="0" w:after="0"/>
              <w:rPr>
                <w:rFonts w:cs="Calibri Light"/>
                <w:sz w:val="20"/>
              </w:rPr>
            </w:pPr>
            <w:r w:rsidRPr="00B40408">
              <w:rPr>
                <w:rFonts w:cs="Calibri Light"/>
                <w:sz w:val="20"/>
              </w:rPr>
              <w:t>2,578</w:t>
            </w:r>
          </w:p>
        </w:tc>
        <w:tc>
          <w:tcPr>
            <w:tcW w:w="1275" w:type="dxa"/>
          </w:tcPr>
          <w:p w14:paraId="7B26E14D" w14:textId="3A465A60" w:rsidR="006400DB" w:rsidRPr="00172025" w:rsidRDefault="006400DB" w:rsidP="00D136B8">
            <w:pPr>
              <w:contextualSpacing/>
              <w:rPr>
                <w:sz w:val="20"/>
              </w:rPr>
            </w:pPr>
            <w:r w:rsidRPr="00172025">
              <w:rPr>
                <w:sz w:val="20"/>
              </w:rPr>
              <w:t>345.8</w:t>
            </w:r>
          </w:p>
        </w:tc>
        <w:tc>
          <w:tcPr>
            <w:tcW w:w="1418" w:type="dxa"/>
            <w:noWrap/>
          </w:tcPr>
          <w:p w14:paraId="29B74464" w14:textId="14A0790D" w:rsidR="006400DB" w:rsidRPr="00B40408" w:rsidRDefault="006400DB" w:rsidP="00D136B8">
            <w:pPr>
              <w:contextualSpacing/>
              <w:rPr>
                <w:sz w:val="20"/>
              </w:rPr>
            </w:pPr>
            <w:r w:rsidRPr="00B40408">
              <w:rPr>
                <w:rFonts w:cs="Calibri Light"/>
                <w:sz w:val="20"/>
              </w:rPr>
              <w:t>1.3414</w:t>
            </w:r>
          </w:p>
        </w:tc>
        <w:tc>
          <w:tcPr>
            <w:tcW w:w="2835" w:type="dxa"/>
            <w:noWrap/>
          </w:tcPr>
          <w:p w14:paraId="76C7697F" w14:textId="3C8CED9F" w:rsidR="006400DB" w:rsidRPr="00172025" w:rsidRDefault="006400DB" w:rsidP="006400DB">
            <w:pPr>
              <w:contextualSpacing/>
              <w:rPr>
                <w:sz w:val="20"/>
              </w:rPr>
            </w:pPr>
            <w:r w:rsidRPr="00172025">
              <w:rPr>
                <w:sz w:val="20"/>
              </w:rPr>
              <w:t>351.7</w:t>
            </w:r>
            <w:r w:rsidRPr="00172025" w:rsidDel="00171937">
              <w:rPr>
                <w:sz w:val="20"/>
              </w:rPr>
              <w:t xml:space="preserve"> </w:t>
            </w:r>
            <w:r w:rsidRPr="00172025">
              <w:rPr>
                <w:sz w:val="20"/>
              </w:rPr>
              <w:t>(one party</w:t>
            </w:r>
            <w:r w:rsidR="004B6D1F">
              <w:rPr>
                <w:sz w:val="20"/>
              </w:rPr>
              <w:t xml:space="preserve"> worldwide</w:t>
            </w:r>
            <w:r w:rsidRPr="00172025">
              <w:rPr>
                <w:sz w:val="20"/>
              </w:rPr>
              <w:t>)</w:t>
            </w:r>
          </w:p>
        </w:tc>
        <w:tc>
          <w:tcPr>
            <w:tcW w:w="1564" w:type="dxa"/>
            <w:vMerge w:val="restart"/>
          </w:tcPr>
          <w:p w14:paraId="17BD26DE" w14:textId="6E68060E" w:rsidR="006400DB" w:rsidRPr="00795AD2" w:rsidRDefault="006400DB" w:rsidP="006400DB">
            <w:pPr>
              <w:contextualSpacing/>
              <w:rPr>
                <w:sz w:val="20"/>
              </w:rPr>
            </w:pPr>
            <w:r w:rsidRPr="006400DB">
              <w:rPr>
                <w:sz w:val="20"/>
              </w:rPr>
              <w:t>927</w:t>
            </w:r>
          </w:p>
        </w:tc>
      </w:tr>
      <w:tr w:rsidR="006400DB" w:rsidRPr="006C4F3B" w14:paraId="00F3387C" w14:textId="66511C5D" w:rsidTr="006A3C0D">
        <w:trPr>
          <w:trHeight w:val="300"/>
          <w:jc w:val="center"/>
        </w:trPr>
        <w:tc>
          <w:tcPr>
            <w:tcW w:w="1413" w:type="dxa"/>
            <w:vMerge/>
            <w:noWrap/>
            <w:hideMark/>
          </w:tcPr>
          <w:p w14:paraId="7CC1DF19" w14:textId="61BF61B4" w:rsidR="006400DB" w:rsidRPr="00F432CE" w:rsidRDefault="006400DB" w:rsidP="006400DB">
            <w:pPr>
              <w:contextualSpacing/>
              <w:rPr>
                <w:b/>
                <w:sz w:val="20"/>
              </w:rPr>
            </w:pPr>
          </w:p>
        </w:tc>
        <w:tc>
          <w:tcPr>
            <w:tcW w:w="1276" w:type="dxa"/>
            <w:vMerge/>
            <w:noWrap/>
            <w:hideMark/>
          </w:tcPr>
          <w:p w14:paraId="6228EA70" w14:textId="2005B9B8" w:rsidR="006400DB" w:rsidRPr="00172025" w:rsidRDefault="006400DB" w:rsidP="006400DB">
            <w:pPr>
              <w:contextualSpacing/>
              <w:rPr>
                <w:sz w:val="20"/>
              </w:rPr>
            </w:pPr>
          </w:p>
        </w:tc>
        <w:tc>
          <w:tcPr>
            <w:tcW w:w="1275" w:type="dxa"/>
          </w:tcPr>
          <w:p w14:paraId="2C358BCC" w14:textId="728C7369" w:rsidR="006400DB" w:rsidRPr="00172025" w:rsidRDefault="006400DB" w:rsidP="00D136B8">
            <w:pPr>
              <w:contextualSpacing/>
              <w:rPr>
                <w:sz w:val="20"/>
              </w:rPr>
            </w:pPr>
            <w:r w:rsidRPr="00172025">
              <w:rPr>
                <w:sz w:val="20"/>
              </w:rPr>
              <w:t>34.6</w:t>
            </w:r>
          </w:p>
        </w:tc>
        <w:tc>
          <w:tcPr>
            <w:tcW w:w="1418" w:type="dxa"/>
            <w:noWrap/>
            <w:hideMark/>
          </w:tcPr>
          <w:p w14:paraId="56B6A6D9" w14:textId="1161228B" w:rsidR="006400DB" w:rsidRPr="00795AD2" w:rsidRDefault="006400DB" w:rsidP="00D136B8">
            <w:pPr>
              <w:contextualSpacing/>
              <w:rPr>
                <w:sz w:val="20"/>
              </w:rPr>
            </w:pPr>
            <w:r w:rsidRPr="00795AD2">
              <w:rPr>
                <w:rFonts w:cs="Calibri Light"/>
                <w:sz w:val="20"/>
              </w:rPr>
              <w:t>0.1341</w:t>
            </w:r>
          </w:p>
        </w:tc>
        <w:tc>
          <w:tcPr>
            <w:tcW w:w="2835" w:type="dxa"/>
            <w:noWrap/>
            <w:hideMark/>
          </w:tcPr>
          <w:p w14:paraId="382BBCB5" w14:textId="506E1B97" w:rsidR="006400DB" w:rsidRPr="00172025" w:rsidRDefault="006400DB" w:rsidP="006400DB">
            <w:pPr>
              <w:contextualSpacing/>
              <w:rPr>
                <w:sz w:val="20"/>
              </w:rPr>
            </w:pPr>
            <w:r w:rsidRPr="00172025">
              <w:rPr>
                <w:sz w:val="20"/>
              </w:rPr>
              <w:t>35.2</w:t>
            </w:r>
            <w:r w:rsidRPr="00172025" w:rsidDel="00171937">
              <w:rPr>
                <w:sz w:val="20"/>
              </w:rPr>
              <w:t xml:space="preserve"> </w:t>
            </w:r>
            <w:r w:rsidRPr="00172025">
              <w:rPr>
                <w:sz w:val="20"/>
              </w:rPr>
              <w:t>(other party</w:t>
            </w:r>
            <w:r w:rsidR="004B6D1F">
              <w:rPr>
                <w:sz w:val="20"/>
              </w:rPr>
              <w:t xml:space="preserve"> worldwide</w:t>
            </w:r>
            <w:r w:rsidRPr="00172025">
              <w:rPr>
                <w:sz w:val="20"/>
              </w:rPr>
              <w:t>)</w:t>
            </w:r>
          </w:p>
        </w:tc>
        <w:tc>
          <w:tcPr>
            <w:tcW w:w="1564" w:type="dxa"/>
            <w:vMerge/>
          </w:tcPr>
          <w:p w14:paraId="4B1975D2" w14:textId="77777777" w:rsidR="006400DB" w:rsidRPr="00150572" w:rsidRDefault="006400DB" w:rsidP="006400DB">
            <w:pPr>
              <w:contextualSpacing/>
              <w:rPr>
                <w:sz w:val="20"/>
              </w:rPr>
            </w:pPr>
          </w:p>
        </w:tc>
      </w:tr>
      <w:tr w:rsidR="006400DB" w:rsidRPr="006C4F3B" w14:paraId="290D0973" w14:textId="022B851E" w:rsidTr="006A3C0D">
        <w:trPr>
          <w:trHeight w:val="300"/>
          <w:jc w:val="center"/>
        </w:trPr>
        <w:tc>
          <w:tcPr>
            <w:tcW w:w="1413" w:type="dxa"/>
            <w:vMerge w:val="restart"/>
            <w:noWrap/>
            <w:hideMark/>
          </w:tcPr>
          <w:p w14:paraId="144D9A4A" w14:textId="1ABE37E9" w:rsidR="006400DB" w:rsidRPr="00F432CE" w:rsidRDefault="006400DB" w:rsidP="006400DB">
            <w:pPr>
              <w:contextualSpacing/>
              <w:rPr>
                <w:b/>
                <w:sz w:val="20"/>
              </w:rPr>
            </w:pPr>
            <w:r w:rsidRPr="00F432CE">
              <w:rPr>
                <w:b/>
                <w:sz w:val="20"/>
              </w:rPr>
              <w:t>Spain</w:t>
            </w:r>
          </w:p>
        </w:tc>
        <w:tc>
          <w:tcPr>
            <w:tcW w:w="1276" w:type="dxa"/>
            <w:vMerge w:val="restart"/>
            <w:noWrap/>
            <w:hideMark/>
          </w:tcPr>
          <w:p w14:paraId="0024C2F5" w14:textId="447B009A" w:rsidR="006400DB" w:rsidRPr="00795AD2" w:rsidRDefault="006400DB" w:rsidP="006400DB">
            <w:pPr>
              <w:spacing w:before="0" w:after="0"/>
              <w:rPr>
                <w:rFonts w:cs="Calibri Light"/>
                <w:sz w:val="20"/>
              </w:rPr>
            </w:pPr>
            <w:r w:rsidRPr="00795AD2">
              <w:rPr>
                <w:rFonts w:cs="Calibri Light"/>
                <w:sz w:val="20"/>
              </w:rPr>
              <w:t>2,380</w:t>
            </w:r>
          </w:p>
        </w:tc>
        <w:tc>
          <w:tcPr>
            <w:tcW w:w="1275" w:type="dxa"/>
          </w:tcPr>
          <w:p w14:paraId="1D57DBB7" w14:textId="2E24B8F1" w:rsidR="006400DB" w:rsidRPr="00172025" w:rsidRDefault="006400DB" w:rsidP="00D136B8">
            <w:pPr>
              <w:contextualSpacing/>
              <w:rPr>
                <w:sz w:val="20"/>
              </w:rPr>
            </w:pPr>
            <w:r w:rsidRPr="00172025">
              <w:rPr>
                <w:sz w:val="20"/>
              </w:rPr>
              <w:t>97.7</w:t>
            </w:r>
          </w:p>
        </w:tc>
        <w:tc>
          <w:tcPr>
            <w:tcW w:w="1418" w:type="dxa"/>
            <w:noWrap/>
            <w:hideMark/>
          </w:tcPr>
          <w:p w14:paraId="4E94C37D" w14:textId="2AF2D1AE" w:rsidR="006400DB" w:rsidRPr="00795AD2" w:rsidRDefault="006400DB" w:rsidP="00D136B8">
            <w:pPr>
              <w:contextualSpacing/>
              <w:rPr>
                <w:sz w:val="20"/>
              </w:rPr>
            </w:pPr>
            <w:r w:rsidRPr="00795AD2">
              <w:rPr>
                <w:rFonts w:cs="Calibri Light"/>
                <w:sz w:val="20"/>
              </w:rPr>
              <w:t>0.4104</w:t>
            </w:r>
          </w:p>
        </w:tc>
        <w:tc>
          <w:tcPr>
            <w:tcW w:w="2835" w:type="dxa"/>
            <w:noWrap/>
            <w:hideMark/>
          </w:tcPr>
          <w:p w14:paraId="3C1C69A1" w14:textId="502FC69A" w:rsidR="006400DB" w:rsidRPr="00687240" w:rsidRDefault="006400DB" w:rsidP="006400DB">
            <w:pPr>
              <w:contextualSpacing/>
              <w:rPr>
                <w:sz w:val="20"/>
              </w:rPr>
            </w:pPr>
            <w:r w:rsidRPr="00687240">
              <w:rPr>
                <w:sz w:val="20"/>
              </w:rPr>
              <w:t>107.6</w:t>
            </w:r>
            <w:r w:rsidR="00AE2AA1">
              <w:rPr>
                <w:sz w:val="20"/>
              </w:rPr>
              <w:t xml:space="preserve"> (at least two parties)</w:t>
            </w:r>
          </w:p>
        </w:tc>
        <w:tc>
          <w:tcPr>
            <w:tcW w:w="1564" w:type="dxa"/>
            <w:vMerge w:val="restart"/>
          </w:tcPr>
          <w:p w14:paraId="73E9C10E" w14:textId="1A58B733" w:rsidR="006400DB" w:rsidRPr="00795AD2" w:rsidRDefault="006400DB" w:rsidP="006400DB">
            <w:pPr>
              <w:contextualSpacing/>
              <w:rPr>
                <w:sz w:val="20"/>
              </w:rPr>
            </w:pPr>
            <w:r w:rsidRPr="006400DB">
              <w:rPr>
                <w:sz w:val="20"/>
              </w:rPr>
              <w:t>70</w:t>
            </w:r>
            <w:r w:rsidR="00F72CCD" w:rsidRPr="00F62AFE">
              <w:rPr>
                <w:b/>
                <w:sz w:val="20"/>
                <w:vertAlign w:val="superscript"/>
              </w:rPr>
              <w:t>#</w:t>
            </w:r>
          </w:p>
        </w:tc>
      </w:tr>
      <w:tr w:rsidR="006400DB" w:rsidRPr="006C4F3B" w14:paraId="1E455A4F" w14:textId="63EDA1EA" w:rsidTr="006A3C0D">
        <w:trPr>
          <w:trHeight w:val="300"/>
          <w:jc w:val="center"/>
        </w:trPr>
        <w:tc>
          <w:tcPr>
            <w:tcW w:w="1413" w:type="dxa"/>
            <w:vMerge/>
            <w:noWrap/>
          </w:tcPr>
          <w:p w14:paraId="0D892353" w14:textId="77777777" w:rsidR="006400DB" w:rsidRPr="00F432CE" w:rsidRDefault="006400DB" w:rsidP="006400DB">
            <w:pPr>
              <w:contextualSpacing/>
              <w:rPr>
                <w:b/>
                <w:sz w:val="20"/>
              </w:rPr>
            </w:pPr>
          </w:p>
        </w:tc>
        <w:tc>
          <w:tcPr>
            <w:tcW w:w="1276" w:type="dxa"/>
            <w:vMerge/>
            <w:noWrap/>
          </w:tcPr>
          <w:p w14:paraId="611CDBAD" w14:textId="77777777" w:rsidR="006400DB" w:rsidRPr="00172025" w:rsidRDefault="006400DB" w:rsidP="006400DB">
            <w:pPr>
              <w:contextualSpacing/>
              <w:rPr>
                <w:sz w:val="20"/>
              </w:rPr>
            </w:pPr>
          </w:p>
        </w:tc>
        <w:tc>
          <w:tcPr>
            <w:tcW w:w="1275" w:type="dxa"/>
          </w:tcPr>
          <w:p w14:paraId="2B24625A" w14:textId="7C08D4BC" w:rsidR="006400DB" w:rsidRPr="00172025" w:rsidRDefault="006400DB" w:rsidP="00D136B8">
            <w:pPr>
              <w:contextualSpacing/>
              <w:rPr>
                <w:sz w:val="20"/>
              </w:rPr>
            </w:pPr>
            <w:r w:rsidRPr="00172025">
              <w:rPr>
                <w:sz w:val="20"/>
              </w:rPr>
              <w:t>390.6^</w:t>
            </w:r>
          </w:p>
        </w:tc>
        <w:tc>
          <w:tcPr>
            <w:tcW w:w="1418" w:type="dxa"/>
            <w:noWrap/>
          </w:tcPr>
          <w:p w14:paraId="2DDDDCC1" w14:textId="2A45C28E" w:rsidR="006400DB" w:rsidRPr="00795AD2" w:rsidRDefault="006400DB" w:rsidP="00D136B8">
            <w:pPr>
              <w:contextualSpacing/>
              <w:rPr>
                <w:sz w:val="20"/>
              </w:rPr>
            </w:pPr>
            <w:r w:rsidRPr="00795AD2">
              <w:rPr>
                <w:rFonts w:cs="Calibri Light"/>
                <w:sz w:val="20"/>
              </w:rPr>
              <w:t>1.6414</w:t>
            </w:r>
          </w:p>
        </w:tc>
        <w:tc>
          <w:tcPr>
            <w:tcW w:w="2835" w:type="dxa"/>
            <w:noWrap/>
          </w:tcPr>
          <w:p w14:paraId="336AAB96" w14:textId="26692583" w:rsidR="006400DB" w:rsidRPr="00687240" w:rsidRDefault="006400DB" w:rsidP="006400DB">
            <w:pPr>
              <w:contextualSpacing/>
              <w:rPr>
                <w:sz w:val="20"/>
              </w:rPr>
            </w:pPr>
            <w:r w:rsidRPr="00687240">
              <w:rPr>
                <w:sz w:val="20"/>
              </w:rPr>
              <w:t>430.3</w:t>
            </w:r>
            <w:r w:rsidRPr="00687240" w:rsidDel="00CC0AE8">
              <w:rPr>
                <w:sz w:val="20"/>
              </w:rPr>
              <w:t xml:space="preserve"> </w:t>
            </w:r>
            <w:r w:rsidRPr="00687240">
              <w:rPr>
                <w:sz w:val="20"/>
              </w:rPr>
              <w:t>(combined)</w:t>
            </w:r>
          </w:p>
        </w:tc>
        <w:tc>
          <w:tcPr>
            <w:tcW w:w="1564" w:type="dxa"/>
            <w:vMerge/>
          </w:tcPr>
          <w:p w14:paraId="7BDF5119" w14:textId="77777777" w:rsidR="006400DB" w:rsidRPr="00795AD2" w:rsidRDefault="006400DB" w:rsidP="006400DB">
            <w:pPr>
              <w:contextualSpacing/>
              <w:rPr>
                <w:sz w:val="20"/>
              </w:rPr>
            </w:pPr>
          </w:p>
        </w:tc>
      </w:tr>
      <w:tr w:rsidR="006400DB" w:rsidRPr="006C4F3B" w14:paraId="0882F303" w14:textId="33FFFDA6" w:rsidTr="006A3C0D">
        <w:trPr>
          <w:trHeight w:val="300"/>
          <w:jc w:val="center"/>
        </w:trPr>
        <w:tc>
          <w:tcPr>
            <w:tcW w:w="1413" w:type="dxa"/>
            <w:vMerge w:val="restart"/>
            <w:noWrap/>
            <w:hideMark/>
          </w:tcPr>
          <w:p w14:paraId="13DECBD3" w14:textId="70AF81D2" w:rsidR="006400DB" w:rsidRPr="00F432CE" w:rsidRDefault="006400DB" w:rsidP="006400DB">
            <w:pPr>
              <w:contextualSpacing/>
              <w:rPr>
                <w:b/>
                <w:sz w:val="20"/>
              </w:rPr>
            </w:pPr>
            <w:r w:rsidRPr="00F432CE">
              <w:rPr>
                <w:b/>
                <w:sz w:val="20"/>
              </w:rPr>
              <w:t>Ireland</w:t>
            </w:r>
          </w:p>
        </w:tc>
        <w:tc>
          <w:tcPr>
            <w:tcW w:w="1276" w:type="dxa"/>
            <w:vMerge w:val="restart"/>
            <w:noWrap/>
            <w:hideMark/>
          </w:tcPr>
          <w:p w14:paraId="653E0B48" w14:textId="65797FFC" w:rsidR="006400DB" w:rsidRPr="00795AD2" w:rsidRDefault="006400DB" w:rsidP="006400DB">
            <w:pPr>
              <w:spacing w:before="0" w:after="0"/>
              <w:rPr>
                <w:rFonts w:cs="Calibri Light"/>
                <w:sz w:val="20"/>
              </w:rPr>
            </w:pPr>
            <w:r w:rsidRPr="00795AD2">
              <w:rPr>
                <w:rFonts w:cs="Calibri Light"/>
                <w:sz w:val="20"/>
              </w:rPr>
              <w:t>821</w:t>
            </w:r>
          </w:p>
        </w:tc>
        <w:tc>
          <w:tcPr>
            <w:tcW w:w="1275" w:type="dxa"/>
          </w:tcPr>
          <w:p w14:paraId="1843BAC0" w14:textId="1F65AD6F" w:rsidR="006400DB" w:rsidRPr="00172025" w:rsidRDefault="006400DB" w:rsidP="00D136B8">
            <w:pPr>
              <w:contextualSpacing/>
              <w:rPr>
                <w:sz w:val="20"/>
              </w:rPr>
            </w:pPr>
            <w:r w:rsidRPr="00172025">
              <w:rPr>
                <w:sz w:val="20"/>
              </w:rPr>
              <w:t>16.3</w:t>
            </w:r>
          </w:p>
        </w:tc>
        <w:tc>
          <w:tcPr>
            <w:tcW w:w="1418" w:type="dxa"/>
            <w:noWrap/>
            <w:hideMark/>
          </w:tcPr>
          <w:p w14:paraId="7960194F" w14:textId="712732CB" w:rsidR="006400DB" w:rsidRPr="00795AD2" w:rsidRDefault="006400DB" w:rsidP="00D136B8">
            <w:pPr>
              <w:contextualSpacing/>
              <w:rPr>
                <w:sz w:val="20"/>
              </w:rPr>
            </w:pPr>
            <w:r w:rsidRPr="00795AD2">
              <w:rPr>
                <w:rFonts w:cs="Calibri Light"/>
                <w:sz w:val="20"/>
              </w:rPr>
              <w:t>0.1981</w:t>
            </w:r>
          </w:p>
        </w:tc>
        <w:tc>
          <w:tcPr>
            <w:tcW w:w="2835" w:type="dxa"/>
            <w:noWrap/>
            <w:hideMark/>
          </w:tcPr>
          <w:p w14:paraId="76B7E96D" w14:textId="4184C604" w:rsidR="006400DB" w:rsidRPr="005F3573" w:rsidRDefault="006400DB" w:rsidP="006400DB">
            <w:pPr>
              <w:contextualSpacing/>
              <w:rPr>
                <w:sz w:val="20"/>
              </w:rPr>
            </w:pPr>
            <w:r w:rsidRPr="005F3573">
              <w:rPr>
                <w:sz w:val="20"/>
              </w:rPr>
              <w:t>51.9</w:t>
            </w:r>
            <w:r w:rsidR="00A603B3">
              <w:rPr>
                <w:sz w:val="20"/>
              </w:rPr>
              <w:t xml:space="preserve"> (at least two parties)</w:t>
            </w:r>
          </w:p>
        </w:tc>
        <w:tc>
          <w:tcPr>
            <w:tcW w:w="1564" w:type="dxa"/>
            <w:vMerge w:val="restart"/>
          </w:tcPr>
          <w:p w14:paraId="0696BF2C" w14:textId="39EA386F" w:rsidR="006400DB" w:rsidRPr="00795AD2" w:rsidRDefault="006400DB" w:rsidP="006400DB">
            <w:pPr>
              <w:contextualSpacing/>
              <w:rPr>
                <w:sz w:val="20"/>
              </w:rPr>
            </w:pPr>
            <w:r w:rsidRPr="006400DB">
              <w:rPr>
                <w:sz w:val="20"/>
              </w:rPr>
              <w:t>68</w:t>
            </w:r>
            <w:r w:rsidR="00F72CCD" w:rsidRPr="00F62AFE">
              <w:rPr>
                <w:b/>
                <w:sz w:val="20"/>
                <w:vertAlign w:val="superscript"/>
              </w:rPr>
              <w:t>#</w:t>
            </w:r>
          </w:p>
        </w:tc>
      </w:tr>
      <w:tr w:rsidR="006400DB" w:rsidRPr="006C4F3B" w14:paraId="58DC8DD4" w14:textId="118E3A7A" w:rsidTr="006A3C0D">
        <w:trPr>
          <w:trHeight w:val="300"/>
          <w:jc w:val="center"/>
        </w:trPr>
        <w:tc>
          <w:tcPr>
            <w:tcW w:w="1413" w:type="dxa"/>
            <w:vMerge/>
            <w:noWrap/>
          </w:tcPr>
          <w:p w14:paraId="0ED17979" w14:textId="77777777" w:rsidR="006400DB" w:rsidRPr="00F432CE" w:rsidRDefault="006400DB" w:rsidP="006400DB">
            <w:pPr>
              <w:contextualSpacing/>
              <w:rPr>
                <w:b/>
                <w:sz w:val="20"/>
              </w:rPr>
            </w:pPr>
          </w:p>
        </w:tc>
        <w:tc>
          <w:tcPr>
            <w:tcW w:w="1276" w:type="dxa"/>
            <w:vMerge/>
            <w:noWrap/>
          </w:tcPr>
          <w:p w14:paraId="152DCF02" w14:textId="77777777" w:rsidR="006400DB" w:rsidRPr="00172025" w:rsidRDefault="006400DB" w:rsidP="006400DB">
            <w:pPr>
              <w:contextualSpacing/>
              <w:rPr>
                <w:sz w:val="20"/>
              </w:rPr>
            </w:pPr>
          </w:p>
        </w:tc>
        <w:tc>
          <w:tcPr>
            <w:tcW w:w="1275" w:type="dxa"/>
          </w:tcPr>
          <w:p w14:paraId="196B2E1C" w14:textId="3926C9D1" w:rsidR="006400DB" w:rsidRPr="00172025" w:rsidRDefault="006400DB" w:rsidP="00D136B8">
            <w:pPr>
              <w:contextualSpacing/>
              <w:rPr>
                <w:sz w:val="20"/>
              </w:rPr>
            </w:pPr>
            <w:r w:rsidRPr="00172025">
              <w:rPr>
                <w:sz w:val="20"/>
              </w:rPr>
              <w:t>97.7^</w:t>
            </w:r>
          </w:p>
        </w:tc>
        <w:tc>
          <w:tcPr>
            <w:tcW w:w="1418" w:type="dxa"/>
            <w:noWrap/>
          </w:tcPr>
          <w:p w14:paraId="3FD4AC5B" w14:textId="7D4ACDE8" w:rsidR="006400DB" w:rsidRPr="00795AD2" w:rsidRDefault="006400DB" w:rsidP="00D136B8">
            <w:pPr>
              <w:contextualSpacing/>
              <w:rPr>
                <w:sz w:val="20"/>
              </w:rPr>
            </w:pPr>
            <w:r w:rsidRPr="00795AD2">
              <w:rPr>
                <w:rFonts w:cs="Calibri Light"/>
                <w:sz w:val="20"/>
              </w:rPr>
              <w:t>1.1888</w:t>
            </w:r>
          </w:p>
        </w:tc>
        <w:tc>
          <w:tcPr>
            <w:tcW w:w="2835" w:type="dxa"/>
            <w:noWrap/>
          </w:tcPr>
          <w:p w14:paraId="5CE50423" w14:textId="1417EDDF" w:rsidR="006400DB" w:rsidRPr="005F3573" w:rsidRDefault="006400DB" w:rsidP="006400DB">
            <w:pPr>
              <w:contextualSpacing/>
              <w:rPr>
                <w:sz w:val="20"/>
              </w:rPr>
            </w:pPr>
            <w:r w:rsidRPr="005F3573">
              <w:rPr>
                <w:sz w:val="20"/>
              </w:rPr>
              <w:t>311.7</w:t>
            </w:r>
            <w:r w:rsidRPr="005F3573" w:rsidDel="005457A2">
              <w:rPr>
                <w:sz w:val="20"/>
              </w:rPr>
              <w:t xml:space="preserve"> </w:t>
            </w:r>
            <w:r w:rsidRPr="005F3573">
              <w:rPr>
                <w:sz w:val="20"/>
              </w:rPr>
              <w:t>(combined)</w:t>
            </w:r>
          </w:p>
        </w:tc>
        <w:tc>
          <w:tcPr>
            <w:tcW w:w="1564" w:type="dxa"/>
            <w:vMerge/>
          </w:tcPr>
          <w:p w14:paraId="5B68F107" w14:textId="77777777" w:rsidR="006400DB" w:rsidRPr="00795AD2" w:rsidRDefault="006400DB" w:rsidP="006400DB">
            <w:pPr>
              <w:contextualSpacing/>
              <w:rPr>
                <w:sz w:val="20"/>
              </w:rPr>
            </w:pPr>
          </w:p>
        </w:tc>
      </w:tr>
      <w:tr w:rsidR="006400DB" w:rsidRPr="006C4F3B" w14:paraId="2624A4D7" w14:textId="468349C1" w:rsidTr="006A3C0D">
        <w:trPr>
          <w:trHeight w:val="300"/>
          <w:jc w:val="center"/>
        </w:trPr>
        <w:tc>
          <w:tcPr>
            <w:tcW w:w="1413" w:type="dxa"/>
            <w:vMerge w:val="restart"/>
            <w:noWrap/>
            <w:hideMark/>
          </w:tcPr>
          <w:p w14:paraId="261B9E7E" w14:textId="0E7A9DDB" w:rsidR="006400DB" w:rsidRPr="00F432CE" w:rsidRDefault="006400DB" w:rsidP="006400DB">
            <w:pPr>
              <w:contextualSpacing/>
              <w:rPr>
                <w:b/>
                <w:sz w:val="20"/>
              </w:rPr>
            </w:pPr>
            <w:r w:rsidRPr="00F432CE">
              <w:rPr>
                <w:b/>
                <w:sz w:val="20"/>
              </w:rPr>
              <w:t>Norway</w:t>
            </w:r>
          </w:p>
        </w:tc>
        <w:tc>
          <w:tcPr>
            <w:tcW w:w="1276" w:type="dxa"/>
            <w:vMerge w:val="restart"/>
            <w:noWrap/>
            <w:hideMark/>
          </w:tcPr>
          <w:p w14:paraId="0C9C0F55" w14:textId="5E89C020" w:rsidR="006400DB" w:rsidRPr="00795AD2" w:rsidRDefault="006400DB" w:rsidP="006400DB">
            <w:pPr>
              <w:spacing w:before="0" w:after="0"/>
              <w:rPr>
                <w:rFonts w:cs="Calibri Light"/>
                <w:sz w:val="20"/>
              </w:rPr>
            </w:pPr>
            <w:r w:rsidRPr="00795AD2">
              <w:rPr>
                <w:rFonts w:cs="Calibri Light"/>
                <w:sz w:val="20"/>
              </w:rPr>
              <w:t>731</w:t>
            </w:r>
          </w:p>
        </w:tc>
        <w:tc>
          <w:tcPr>
            <w:tcW w:w="1275" w:type="dxa"/>
          </w:tcPr>
          <w:p w14:paraId="5A04F543" w14:textId="67C7639C" w:rsidR="006400DB" w:rsidRPr="00172025" w:rsidRDefault="006400DB" w:rsidP="00D136B8">
            <w:pPr>
              <w:contextualSpacing/>
              <w:rPr>
                <w:sz w:val="20"/>
              </w:rPr>
            </w:pPr>
            <w:r w:rsidRPr="00172025">
              <w:rPr>
                <w:sz w:val="20"/>
              </w:rPr>
              <w:t xml:space="preserve">14.3 </w:t>
            </w:r>
          </w:p>
        </w:tc>
        <w:tc>
          <w:tcPr>
            <w:tcW w:w="1418" w:type="dxa"/>
            <w:noWrap/>
            <w:hideMark/>
          </w:tcPr>
          <w:p w14:paraId="0B41ECD3" w14:textId="1D5AFE98" w:rsidR="006400DB" w:rsidRPr="00795AD2" w:rsidRDefault="006400DB" w:rsidP="00D136B8">
            <w:pPr>
              <w:contextualSpacing/>
              <w:rPr>
                <w:sz w:val="20"/>
              </w:rPr>
            </w:pPr>
            <w:r w:rsidRPr="00795AD2">
              <w:rPr>
                <w:rFonts w:cs="Calibri Light"/>
                <w:sz w:val="20"/>
              </w:rPr>
              <w:t>0.1951</w:t>
            </w:r>
          </w:p>
        </w:tc>
        <w:tc>
          <w:tcPr>
            <w:tcW w:w="2835" w:type="dxa"/>
            <w:noWrap/>
            <w:hideMark/>
          </w:tcPr>
          <w:p w14:paraId="7B271A30" w14:textId="2C8AFCBA" w:rsidR="006400DB" w:rsidRPr="00795AD2" w:rsidRDefault="006400DB" w:rsidP="006400DB">
            <w:pPr>
              <w:contextualSpacing/>
              <w:rPr>
                <w:sz w:val="20"/>
              </w:rPr>
            </w:pPr>
            <w:r w:rsidRPr="0040293A">
              <w:rPr>
                <w:sz w:val="20"/>
              </w:rPr>
              <w:t xml:space="preserve">51.1 </w:t>
            </w:r>
            <w:r w:rsidR="00107794">
              <w:rPr>
                <w:sz w:val="20"/>
              </w:rPr>
              <w:t>(at least two parties)</w:t>
            </w:r>
          </w:p>
        </w:tc>
        <w:tc>
          <w:tcPr>
            <w:tcW w:w="1564" w:type="dxa"/>
            <w:vMerge w:val="restart"/>
          </w:tcPr>
          <w:p w14:paraId="763CB84F" w14:textId="391B33F3" w:rsidR="006400DB" w:rsidRPr="00795AD2" w:rsidRDefault="006400DB" w:rsidP="006400DB">
            <w:pPr>
              <w:contextualSpacing/>
              <w:rPr>
                <w:sz w:val="20"/>
              </w:rPr>
            </w:pPr>
            <w:r w:rsidRPr="006400DB">
              <w:rPr>
                <w:sz w:val="20"/>
              </w:rPr>
              <w:t>113</w:t>
            </w:r>
            <w:r w:rsidR="00F72CCD" w:rsidRPr="00F62AFE">
              <w:rPr>
                <w:b/>
                <w:sz w:val="20"/>
                <w:vertAlign w:val="superscript"/>
              </w:rPr>
              <w:t>#</w:t>
            </w:r>
          </w:p>
        </w:tc>
      </w:tr>
      <w:tr w:rsidR="006400DB" w:rsidRPr="006C4F3B" w14:paraId="3CAFEBF4" w14:textId="49D64730" w:rsidTr="006A3C0D">
        <w:trPr>
          <w:trHeight w:val="300"/>
          <w:jc w:val="center"/>
        </w:trPr>
        <w:tc>
          <w:tcPr>
            <w:tcW w:w="1413" w:type="dxa"/>
            <w:vMerge/>
            <w:noWrap/>
          </w:tcPr>
          <w:p w14:paraId="75A21A77" w14:textId="77777777" w:rsidR="006400DB" w:rsidRPr="00F432CE" w:rsidRDefault="006400DB" w:rsidP="006400DB">
            <w:pPr>
              <w:contextualSpacing/>
              <w:rPr>
                <w:b/>
                <w:sz w:val="20"/>
              </w:rPr>
            </w:pPr>
          </w:p>
        </w:tc>
        <w:tc>
          <w:tcPr>
            <w:tcW w:w="1276" w:type="dxa"/>
            <w:vMerge/>
            <w:noWrap/>
          </w:tcPr>
          <w:p w14:paraId="66DE3227" w14:textId="77777777" w:rsidR="006400DB" w:rsidRPr="00172025" w:rsidRDefault="006400DB" w:rsidP="006400DB">
            <w:pPr>
              <w:contextualSpacing/>
              <w:rPr>
                <w:sz w:val="20"/>
              </w:rPr>
            </w:pPr>
          </w:p>
        </w:tc>
        <w:tc>
          <w:tcPr>
            <w:tcW w:w="1275" w:type="dxa"/>
          </w:tcPr>
          <w:p w14:paraId="7536EF56" w14:textId="07D705AC" w:rsidR="006400DB" w:rsidRPr="00172025" w:rsidRDefault="006400DB" w:rsidP="00D136B8">
            <w:pPr>
              <w:contextualSpacing/>
              <w:rPr>
                <w:sz w:val="20"/>
              </w:rPr>
            </w:pPr>
            <w:r w:rsidRPr="00172025">
              <w:rPr>
                <w:sz w:val="20"/>
              </w:rPr>
              <w:t>142.6^</w:t>
            </w:r>
          </w:p>
        </w:tc>
        <w:tc>
          <w:tcPr>
            <w:tcW w:w="1418" w:type="dxa"/>
            <w:noWrap/>
          </w:tcPr>
          <w:p w14:paraId="5788A908" w14:textId="791547B3" w:rsidR="006400DB" w:rsidRPr="00795AD2" w:rsidRDefault="006400DB" w:rsidP="00D136B8">
            <w:pPr>
              <w:contextualSpacing/>
              <w:rPr>
                <w:sz w:val="20"/>
              </w:rPr>
            </w:pPr>
            <w:r w:rsidRPr="00795AD2">
              <w:rPr>
                <w:rFonts w:cs="Calibri Light"/>
                <w:sz w:val="20"/>
              </w:rPr>
              <w:t>1.9508</w:t>
            </w:r>
          </w:p>
        </w:tc>
        <w:tc>
          <w:tcPr>
            <w:tcW w:w="2835" w:type="dxa"/>
            <w:noWrap/>
          </w:tcPr>
          <w:p w14:paraId="30C97C3D" w14:textId="3E91D998" w:rsidR="006400DB" w:rsidRPr="00795AD2" w:rsidRDefault="006400DB" w:rsidP="006400DB">
            <w:pPr>
              <w:contextualSpacing/>
              <w:rPr>
                <w:sz w:val="20"/>
              </w:rPr>
            </w:pPr>
            <w:r w:rsidRPr="007B0848">
              <w:rPr>
                <w:sz w:val="20"/>
              </w:rPr>
              <w:t>511.4 (combined)</w:t>
            </w:r>
          </w:p>
        </w:tc>
        <w:tc>
          <w:tcPr>
            <w:tcW w:w="1564" w:type="dxa"/>
            <w:vMerge/>
          </w:tcPr>
          <w:p w14:paraId="540433BA" w14:textId="77777777" w:rsidR="006400DB" w:rsidRPr="00795AD2" w:rsidRDefault="006400DB" w:rsidP="006400DB">
            <w:pPr>
              <w:contextualSpacing/>
              <w:rPr>
                <w:sz w:val="20"/>
              </w:rPr>
            </w:pPr>
          </w:p>
        </w:tc>
      </w:tr>
      <w:tr w:rsidR="006400DB" w:rsidRPr="006C4F3B" w14:paraId="08C27A2D" w14:textId="77777777" w:rsidTr="006A3C0D">
        <w:trPr>
          <w:trHeight w:val="300"/>
          <w:jc w:val="center"/>
        </w:trPr>
        <w:tc>
          <w:tcPr>
            <w:tcW w:w="1413" w:type="dxa"/>
            <w:vMerge w:val="restart"/>
            <w:noWrap/>
          </w:tcPr>
          <w:p w14:paraId="51333390" w14:textId="503AF212" w:rsidR="006400DB" w:rsidRPr="00795AD2" w:rsidRDefault="006400DB" w:rsidP="006400DB">
            <w:pPr>
              <w:contextualSpacing/>
              <w:rPr>
                <w:b/>
                <w:sz w:val="20"/>
              </w:rPr>
            </w:pPr>
            <w:r w:rsidRPr="00795AD2">
              <w:rPr>
                <w:b/>
                <w:sz w:val="20"/>
              </w:rPr>
              <w:t>Denmark</w:t>
            </w:r>
          </w:p>
        </w:tc>
        <w:tc>
          <w:tcPr>
            <w:tcW w:w="1276" w:type="dxa"/>
            <w:vMerge w:val="restart"/>
            <w:noWrap/>
          </w:tcPr>
          <w:p w14:paraId="344DE917" w14:textId="2433E363" w:rsidR="006400DB" w:rsidRPr="00795AD2" w:rsidRDefault="006400DB" w:rsidP="006400DB">
            <w:pPr>
              <w:spacing w:before="0" w:after="0"/>
              <w:rPr>
                <w:rFonts w:cs="Calibri Light"/>
                <w:sz w:val="20"/>
              </w:rPr>
            </w:pPr>
            <w:r w:rsidRPr="00795AD2">
              <w:rPr>
                <w:rFonts w:cs="Calibri Light"/>
                <w:sz w:val="20"/>
              </w:rPr>
              <w:t>610</w:t>
            </w:r>
          </w:p>
        </w:tc>
        <w:tc>
          <w:tcPr>
            <w:tcW w:w="1275" w:type="dxa"/>
          </w:tcPr>
          <w:p w14:paraId="2BF3DFAA" w14:textId="63DB5954" w:rsidR="006400DB" w:rsidRPr="00172025" w:rsidRDefault="006400DB" w:rsidP="00D136B8">
            <w:pPr>
              <w:contextualSpacing/>
              <w:rPr>
                <w:sz w:val="20"/>
              </w:rPr>
            </w:pPr>
            <w:r w:rsidRPr="00172025">
              <w:rPr>
                <w:sz w:val="20"/>
              </w:rPr>
              <w:t>21.8</w:t>
            </w:r>
          </w:p>
        </w:tc>
        <w:tc>
          <w:tcPr>
            <w:tcW w:w="1418" w:type="dxa"/>
            <w:noWrap/>
          </w:tcPr>
          <w:p w14:paraId="45D83B19" w14:textId="2315E290" w:rsidR="006400DB" w:rsidRPr="00795AD2" w:rsidRDefault="006400DB" w:rsidP="00D136B8">
            <w:pPr>
              <w:contextualSpacing/>
              <w:rPr>
                <w:sz w:val="20"/>
              </w:rPr>
            </w:pPr>
            <w:r w:rsidRPr="00795AD2">
              <w:rPr>
                <w:rFonts w:cs="Calibri Light"/>
                <w:sz w:val="20"/>
              </w:rPr>
              <w:t>0.3582</w:t>
            </w:r>
          </w:p>
        </w:tc>
        <w:tc>
          <w:tcPr>
            <w:tcW w:w="2835" w:type="dxa"/>
            <w:noWrap/>
          </w:tcPr>
          <w:p w14:paraId="13600CB8" w14:textId="22F2E2BE" w:rsidR="006400DB" w:rsidRPr="00AC2E95" w:rsidRDefault="006400DB" w:rsidP="006400DB">
            <w:pPr>
              <w:contextualSpacing/>
              <w:rPr>
                <w:sz w:val="20"/>
              </w:rPr>
            </w:pPr>
            <w:r w:rsidRPr="00AC2E95">
              <w:rPr>
                <w:sz w:val="20"/>
              </w:rPr>
              <w:t>93.9</w:t>
            </w:r>
            <w:r w:rsidR="00014761">
              <w:rPr>
                <w:sz w:val="20"/>
              </w:rPr>
              <w:t xml:space="preserve"> (at least two parties)</w:t>
            </w:r>
          </w:p>
        </w:tc>
        <w:tc>
          <w:tcPr>
            <w:tcW w:w="1564" w:type="dxa"/>
            <w:vMerge w:val="restart"/>
          </w:tcPr>
          <w:p w14:paraId="66D4B221" w14:textId="27151F99" w:rsidR="006400DB" w:rsidRPr="00795AD2" w:rsidRDefault="006942A7" w:rsidP="006400DB">
            <w:pPr>
              <w:contextualSpacing/>
              <w:rPr>
                <w:sz w:val="20"/>
              </w:rPr>
            </w:pPr>
            <w:r w:rsidRPr="006942A7">
              <w:rPr>
                <w:sz w:val="20"/>
              </w:rPr>
              <w:t>66</w:t>
            </w:r>
            <w:r w:rsidR="00F72CCD" w:rsidRPr="00F62AFE">
              <w:rPr>
                <w:b/>
                <w:sz w:val="20"/>
                <w:vertAlign w:val="superscript"/>
              </w:rPr>
              <w:t>#</w:t>
            </w:r>
          </w:p>
        </w:tc>
      </w:tr>
      <w:tr w:rsidR="006400DB" w:rsidRPr="006C4F3B" w14:paraId="6ED0F6AD" w14:textId="77777777" w:rsidTr="006A3C0D">
        <w:trPr>
          <w:trHeight w:val="300"/>
          <w:jc w:val="center"/>
        </w:trPr>
        <w:tc>
          <w:tcPr>
            <w:tcW w:w="1413" w:type="dxa"/>
            <w:vMerge/>
            <w:noWrap/>
          </w:tcPr>
          <w:p w14:paraId="7E6FBB44" w14:textId="77777777" w:rsidR="006400DB" w:rsidRPr="00150572" w:rsidRDefault="006400DB" w:rsidP="006400DB">
            <w:pPr>
              <w:contextualSpacing/>
              <w:rPr>
                <w:b/>
                <w:sz w:val="20"/>
              </w:rPr>
            </w:pPr>
          </w:p>
        </w:tc>
        <w:tc>
          <w:tcPr>
            <w:tcW w:w="1276" w:type="dxa"/>
            <w:vMerge/>
            <w:noWrap/>
          </w:tcPr>
          <w:p w14:paraId="1F701112" w14:textId="77777777" w:rsidR="006400DB" w:rsidRPr="00172025" w:rsidRDefault="006400DB" w:rsidP="006400DB">
            <w:pPr>
              <w:contextualSpacing/>
              <w:rPr>
                <w:sz w:val="20"/>
                <w:highlight w:val="yellow"/>
              </w:rPr>
            </w:pPr>
          </w:p>
        </w:tc>
        <w:tc>
          <w:tcPr>
            <w:tcW w:w="1275" w:type="dxa"/>
          </w:tcPr>
          <w:p w14:paraId="294BB2A3" w14:textId="2EBB2D15" w:rsidR="006400DB" w:rsidRPr="00172025" w:rsidRDefault="006400DB" w:rsidP="00D136B8">
            <w:pPr>
              <w:contextualSpacing/>
              <w:rPr>
                <w:sz w:val="20"/>
                <w:highlight w:val="yellow"/>
              </w:rPr>
            </w:pPr>
            <w:r w:rsidRPr="00172025">
              <w:rPr>
                <w:sz w:val="20"/>
              </w:rPr>
              <w:t>196.6^</w:t>
            </w:r>
          </w:p>
        </w:tc>
        <w:tc>
          <w:tcPr>
            <w:tcW w:w="1418" w:type="dxa"/>
            <w:noWrap/>
          </w:tcPr>
          <w:p w14:paraId="5810DB8C" w14:textId="6275CE6B" w:rsidR="006400DB" w:rsidRPr="00795AD2" w:rsidRDefault="006400DB" w:rsidP="00D136B8">
            <w:pPr>
              <w:contextualSpacing/>
              <w:rPr>
                <w:sz w:val="20"/>
                <w:highlight w:val="yellow"/>
              </w:rPr>
            </w:pPr>
            <w:r w:rsidRPr="00795AD2">
              <w:rPr>
                <w:rFonts w:cs="Calibri Light"/>
                <w:sz w:val="20"/>
              </w:rPr>
              <w:t>3.2242</w:t>
            </w:r>
          </w:p>
        </w:tc>
        <w:tc>
          <w:tcPr>
            <w:tcW w:w="2835" w:type="dxa"/>
            <w:noWrap/>
          </w:tcPr>
          <w:p w14:paraId="19C37CE1" w14:textId="67E378FE" w:rsidR="006400DB" w:rsidRPr="00AC2E95" w:rsidRDefault="006400DB" w:rsidP="006400DB">
            <w:pPr>
              <w:contextualSpacing/>
              <w:rPr>
                <w:sz w:val="20"/>
                <w:highlight w:val="yellow"/>
              </w:rPr>
            </w:pPr>
            <w:r w:rsidRPr="00AC2E95">
              <w:rPr>
                <w:sz w:val="20"/>
              </w:rPr>
              <w:t>845.3 (combined)</w:t>
            </w:r>
          </w:p>
        </w:tc>
        <w:tc>
          <w:tcPr>
            <w:tcW w:w="1564" w:type="dxa"/>
            <w:vMerge/>
          </w:tcPr>
          <w:p w14:paraId="7B9A703E" w14:textId="77777777" w:rsidR="006400DB" w:rsidRPr="00150572" w:rsidDel="00E435F4" w:rsidRDefault="006400DB" w:rsidP="006400DB">
            <w:pPr>
              <w:contextualSpacing/>
              <w:rPr>
                <w:sz w:val="20"/>
                <w:highlight w:val="yellow"/>
              </w:rPr>
            </w:pPr>
          </w:p>
        </w:tc>
      </w:tr>
      <w:tr w:rsidR="006400DB" w:rsidRPr="006C4F3B" w14:paraId="3A5832BF" w14:textId="77777777" w:rsidTr="006A3C0D">
        <w:trPr>
          <w:trHeight w:val="300"/>
          <w:jc w:val="center"/>
        </w:trPr>
        <w:tc>
          <w:tcPr>
            <w:tcW w:w="1413" w:type="dxa"/>
            <w:vMerge w:val="restart"/>
            <w:noWrap/>
          </w:tcPr>
          <w:p w14:paraId="6EB61404" w14:textId="439A4CCE" w:rsidR="006400DB" w:rsidRPr="00795AD2" w:rsidRDefault="006400DB" w:rsidP="006400DB">
            <w:pPr>
              <w:contextualSpacing/>
              <w:rPr>
                <w:b/>
                <w:sz w:val="20"/>
              </w:rPr>
            </w:pPr>
            <w:r w:rsidRPr="00795AD2">
              <w:rPr>
                <w:b/>
                <w:sz w:val="20"/>
              </w:rPr>
              <w:t>Netherlands</w:t>
            </w:r>
          </w:p>
        </w:tc>
        <w:tc>
          <w:tcPr>
            <w:tcW w:w="1276" w:type="dxa"/>
            <w:vMerge w:val="restart"/>
            <w:noWrap/>
          </w:tcPr>
          <w:p w14:paraId="5A2ACEF8" w14:textId="1448B55F" w:rsidR="006400DB" w:rsidRPr="00795AD2" w:rsidRDefault="006400DB" w:rsidP="006400DB">
            <w:pPr>
              <w:spacing w:before="0" w:after="0"/>
              <w:rPr>
                <w:rFonts w:cs="Calibri Light"/>
                <w:sz w:val="20"/>
              </w:rPr>
            </w:pPr>
            <w:r w:rsidRPr="00795AD2">
              <w:rPr>
                <w:rFonts w:cs="Calibri Light"/>
                <w:sz w:val="20"/>
              </w:rPr>
              <w:t>1,681</w:t>
            </w:r>
          </w:p>
        </w:tc>
        <w:tc>
          <w:tcPr>
            <w:tcW w:w="1275" w:type="dxa"/>
          </w:tcPr>
          <w:p w14:paraId="3752E120" w14:textId="7AE03B7D" w:rsidR="006400DB" w:rsidRPr="00172025" w:rsidRDefault="006400DB" w:rsidP="00D136B8">
            <w:pPr>
              <w:contextualSpacing/>
              <w:rPr>
                <w:sz w:val="20"/>
              </w:rPr>
            </w:pPr>
            <w:r w:rsidRPr="00172025">
              <w:rPr>
                <w:sz w:val="20"/>
              </w:rPr>
              <w:t>48.8</w:t>
            </w:r>
          </w:p>
        </w:tc>
        <w:tc>
          <w:tcPr>
            <w:tcW w:w="1418" w:type="dxa"/>
            <w:noWrap/>
          </w:tcPr>
          <w:p w14:paraId="01936B16" w14:textId="3BF71F8D" w:rsidR="006400DB" w:rsidRPr="00795AD2" w:rsidRDefault="006400DB" w:rsidP="00D136B8">
            <w:pPr>
              <w:contextualSpacing/>
              <w:rPr>
                <w:sz w:val="20"/>
              </w:rPr>
            </w:pPr>
            <w:r w:rsidRPr="00795AD2">
              <w:rPr>
                <w:rFonts w:cs="Calibri Light"/>
                <w:sz w:val="20"/>
              </w:rPr>
              <w:t>0.2904</w:t>
            </w:r>
          </w:p>
        </w:tc>
        <w:tc>
          <w:tcPr>
            <w:tcW w:w="2835" w:type="dxa"/>
            <w:noWrap/>
          </w:tcPr>
          <w:p w14:paraId="0F7FD208" w14:textId="24999E87" w:rsidR="006400DB" w:rsidRPr="009D01C3" w:rsidRDefault="006400DB" w:rsidP="006400DB">
            <w:pPr>
              <w:contextualSpacing/>
              <w:rPr>
                <w:sz w:val="20"/>
              </w:rPr>
            </w:pPr>
            <w:r w:rsidRPr="009D01C3">
              <w:rPr>
                <w:sz w:val="20"/>
              </w:rPr>
              <w:t>76.1</w:t>
            </w:r>
            <w:r w:rsidR="0055703F">
              <w:rPr>
                <w:sz w:val="20"/>
              </w:rPr>
              <w:t xml:space="preserve"> (at least two parties)</w:t>
            </w:r>
          </w:p>
        </w:tc>
        <w:tc>
          <w:tcPr>
            <w:tcW w:w="1564" w:type="dxa"/>
            <w:vMerge w:val="restart"/>
          </w:tcPr>
          <w:p w14:paraId="35A948BC" w14:textId="1F5E16E1" w:rsidR="006400DB" w:rsidRPr="00795AD2" w:rsidRDefault="006400DB" w:rsidP="006400DB">
            <w:pPr>
              <w:contextualSpacing/>
              <w:rPr>
                <w:sz w:val="20"/>
                <w:highlight w:val="yellow"/>
              </w:rPr>
            </w:pPr>
            <w:r w:rsidRPr="00E3481E">
              <w:rPr>
                <w:sz w:val="20"/>
              </w:rPr>
              <w:t>11</w:t>
            </w:r>
            <w:r w:rsidR="00E3481E" w:rsidRPr="00E3481E">
              <w:rPr>
                <w:sz w:val="20"/>
              </w:rPr>
              <w:t>3</w:t>
            </w:r>
            <w:r w:rsidR="00F72CCD" w:rsidRPr="00F62AFE">
              <w:rPr>
                <w:b/>
                <w:sz w:val="20"/>
                <w:vertAlign w:val="superscript"/>
              </w:rPr>
              <w:t>#</w:t>
            </w:r>
          </w:p>
        </w:tc>
      </w:tr>
      <w:tr w:rsidR="006400DB" w:rsidRPr="006C4F3B" w14:paraId="6ACE0313" w14:textId="77777777" w:rsidTr="006A3C0D">
        <w:trPr>
          <w:trHeight w:val="300"/>
          <w:jc w:val="center"/>
        </w:trPr>
        <w:tc>
          <w:tcPr>
            <w:tcW w:w="1413" w:type="dxa"/>
            <w:vMerge/>
            <w:noWrap/>
          </w:tcPr>
          <w:p w14:paraId="01A69371" w14:textId="77777777" w:rsidR="006400DB" w:rsidRPr="00150572" w:rsidRDefault="006400DB" w:rsidP="006400DB">
            <w:pPr>
              <w:contextualSpacing/>
              <w:rPr>
                <w:b/>
                <w:sz w:val="20"/>
              </w:rPr>
            </w:pPr>
          </w:p>
        </w:tc>
        <w:tc>
          <w:tcPr>
            <w:tcW w:w="1276" w:type="dxa"/>
            <w:vMerge/>
            <w:noWrap/>
          </w:tcPr>
          <w:p w14:paraId="6E730B66" w14:textId="77777777" w:rsidR="006400DB" w:rsidRPr="00172025" w:rsidRDefault="006400DB" w:rsidP="006400DB">
            <w:pPr>
              <w:contextualSpacing/>
              <w:rPr>
                <w:sz w:val="20"/>
              </w:rPr>
            </w:pPr>
          </w:p>
        </w:tc>
        <w:tc>
          <w:tcPr>
            <w:tcW w:w="1275" w:type="dxa"/>
          </w:tcPr>
          <w:p w14:paraId="4E892E7B" w14:textId="2CB7F0B6" w:rsidR="006400DB" w:rsidRPr="00172025" w:rsidRDefault="006400DB" w:rsidP="00D136B8">
            <w:pPr>
              <w:contextualSpacing/>
              <w:rPr>
                <w:sz w:val="20"/>
              </w:rPr>
            </w:pPr>
            <w:r w:rsidRPr="00172025">
              <w:rPr>
                <w:sz w:val="20"/>
              </w:rPr>
              <w:t>244.1^</w:t>
            </w:r>
          </w:p>
        </w:tc>
        <w:tc>
          <w:tcPr>
            <w:tcW w:w="1418" w:type="dxa"/>
            <w:noWrap/>
          </w:tcPr>
          <w:p w14:paraId="7FC915BF" w14:textId="291DE2CA" w:rsidR="006400DB" w:rsidRPr="00795AD2" w:rsidRDefault="006400DB" w:rsidP="00D136B8">
            <w:pPr>
              <w:contextualSpacing/>
              <w:rPr>
                <w:sz w:val="20"/>
              </w:rPr>
            </w:pPr>
            <w:r w:rsidRPr="00795AD2">
              <w:rPr>
                <w:rFonts w:cs="Calibri Light"/>
                <w:sz w:val="20"/>
              </w:rPr>
              <w:t>1.4520</w:t>
            </w:r>
          </w:p>
        </w:tc>
        <w:tc>
          <w:tcPr>
            <w:tcW w:w="2835" w:type="dxa"/>
            <w:noWrap/>
          </w:tcPr>
          <w:p w14:paraId="60544442" w14:textId="64D13E52" w:rsidR="006400DB" w:rsidRPr="009D01C3" w:rsidRDefault="006400DB" w:rsidP="006400DB">
            <w:pPr>
              <w:contextualSpacing/>
              <w:rPr>
                <w:sz w:val="20"/>
              </w:rPr>
            </w:pPr>
            <w:r w:rsidRPr="009D01C3">
              <w:rPr>
                <w:sz w:val="20"/>
              </w:rPr>
              <w:t>380.7 (combined worldwide)</w:t>
            </w:r>
          </w:p>
        </w:tc>
        <w:tc>
          <w:tcPr>
            <w:tcW w:w="1564" w:type="dxa"/>
            <w:vMerge/>
          </w:tcPr>
          <w:p w14:paraId="1BCB8C31" w14:textId="77777777" w:rsidR="006400DB" w:rsidRPr="00150572" w:rsidRDefault="006400DB" w:rsidP="006400DB">
            <w:pPr>
              <w:contextualSpacing/>
              <w:rPr>
                <w:sz w:val="20"/>
              </w:rPr>
            </w:pPr>
          </w:p>
        </w:tc>
      </w:tr>
      <w:tr w:rsidR="006400DB" w:rsidRPr="006C4F3B" w14:paraId="38700ECE" w14:textId="77777777" w:rsidTr="006A3C0D">
        <w:trPr>
          <w:trHeight w:val="300"/>
          <w:jc w:val="center"/>
        </w:trPr>
        <w:tc>
          <w:tcPr>
            <w:tcW w:w="1413" w:type="dxa"/>
            <w:vMerge w:val="restart"/>
            <w:noWrap/>
          </w:tcPr>
          <w:p w14:paraId="1DFBAA6F" w14:textId="6EED2626" w:rsidR="006400DB" w:rsidRPr="00795AD2" w:rsidRDefault="006400DB" w:rsidP="006400DB">
            <w:pPr>
              <w:contextualSpacing/>
              <w:rPr>
                <w:b/>
                <w:sz w:val="20"/>
              </w:rPr>
            </w:pPr>
            <w:r w:rsidRPr="00795AD2">
              <w:rPr>
                <w:b/>
                <w:sz w:val="20"/>
              </w:rPr>
              <w:t>European Union</w:t>
            </w:r>
          </w:p>
        </w:tc>
        <w:tc>
          <w:tcPr>
            <w:tcW w:w="1276" w:type="dxa"/>
            <w:vMerge w:val="restart"/>
            <w:noWrap/>
          </w:tcPr>
          <w:p w14:paraId="5AC62AE8" w14:textId="64748A94" w:rsidR="006400DB" w:rsidRPr="00795AD2" w:rsidRDefault="006400DB" w:rsidP="006400DB">
            <w:pPr>
              <w:spacing w:before="0" w:after="0"/>
              <w:rPr>
                <w:rFonts w:cs="Calibri Light"/>
                <w:sz w:val="20"/>
              </w:rPr>
            </w:pPr>
            <w:r w:rsidRPr="00795AD2">
              <w:rPr>
                <w:rFonts w:cs="Calibri Light"/>
                <w:sz w:val="20"/>
              </w:rPr>
              <w:t>27,615</w:t>
            </w:r>
          </w:p>
        </w:tc>
        <w:tc>
          <w:tcPr>
            <w:tcW w:w="1275" w:type="dxa"/>
          </w:tcPr>
          <w:p w14:paraId="7F68E42A" w14:textId="7C2A4B0A" w:rsidR="006400DB" w:rsidRPr="00172025" w:rsidRDefault="006400DB" w:rsidP="00D136B8">
            <w:pPr>
              <w:contextualSpacing/>
              <w:rPr>
                <w:sz w:val="20"/>
              </w:rPr>
            </w:pPr>
            <w:r w:rsidRPr="00172025">
              <w:rPr>
                <w:sz w:val="20"/>
              </w:rPr>
              <w:t>406.9</w:t>
            </w:r>
          </w:p>
        </w:tc>
        <w:tc>
          <w:tcPr>
            <w:tcW w:w="1418" w:type="dxa"/>
            <w:noWrap/>
          </w:tcPr>
          <w:p w14:paraId="76060FF2" w14:textId="532C1999" w:rsidR="006400DB" w:rsidRPr="00795AD2" w:rsidRDefault="006400DB" w:rsidP="00D136B8">
            <w:pPr>
              <w:contextualSpacing/>
              <w:rPr>
                <w:sz w:val="20"/>
              </w:rPr>
            </w:pPr>
            <w:r w:rsidRPr="00795AD2">
              <w:rPr>
                <w:rFonts w:cs="Calibri Light"/>
                <w:sz w:val="20"/>
              </w:rPr>
              <w:t>0.1473</w:t>
            </w:r>
          </w:p>
        </w:tc>
        <w:tc>
          <w:tcPr>
            <w:tcW w:w="2835" w:type="dxa"/>
            <w:noWrap/>
          </w:tcPr>
          <w:p w14:paraId="619EBE4F" w14:textId="2209E303" w:rsidR="006400DB" w:rsidRPr="009D01C3" w:rsidRDefault="006400DB" w:rsidP="006400DB">
            <w:pPr>
              <w:contextualSpacing/>
              <w:rPr>
                <w:sz w:val="20"/>
              </w:rPr>
            </w:pPr>
            <w:r w:rsidRPr="009D01C3">
              <w:rPr>
                <w:sz w:val="20"/>
              </w:rPr>
              <w:t>38.6</w:t>
            </w:r>
            <w:r w:rsidR="00AE768F">
              <w:rPr>
                <w:sz w:val="20"/>
              </w:rPr>
              <w:t xml:space="preserve"> (at least two parties)</w:t>
            </w:r>
          </w:p>
        </w:tc>
        <w:tc>
          <w:tcPr>
            <w:tcW w:w="1564" w:type="dxa"/>
            <w:vMerge w:val="restart"/>
          </w:tcPr>
          <w:p w14:paraId="21F7BF3B" w14:textId="4DC378D7" w:rsidR="006400DB" w:rsidRPr="00795AD2" w:rsidRDefault="006400DB" w:rsidP="006400DB">
            <w:pPr>
              <w:contextualSpacing/>
              <w:rPr>
                <w:sz w:val="20"/>
              </w:rPr>
            </w:pPr>
            <w:r w:rsidRPr="007D45AA">
              <w:rPr>
                <w:sz w:val="20"/>
              </w:rPr>
              <w:t>3</w:t>
            </w:r>
            <w:r w:rsidR="00182E7F" w:rsidRPr="007D45AA">
              <w:rPr>
                <w:sz w:val="20"/>
              </w:rPr>
              <w:t>56</w:t>
            </w:r>
          </w:p>
        </w:tc>
      </w:tr>
      <w:tr w:rsidR="006400DB" w:rsidRPr="006C4F3B" w14:paraId="590E401F" w14:textId="77777777" w:rsidTr="006A3C0D">
        <w:trPr>
          <w:trHeight w:val="300"/>
          <w:jc w:val="center"/>
        </w:trPr>
        <w:tc>
          <w:tcPr>
            <w:tcW w:w="1413" w:type="dxa"/>
            <w:vMerge/>
            <w:noWrap/>
          </w:tcPr>
          <w:p w14:paraId="077FFFB5" w14:textId="77777777" w:rsidR="006400DB" w:rsidRDefault="006400DB" w:rsidP="006400DB">
            <w:pPr>
              <w:contextualSpacing/>
              <w:rPr>
                <w:b/>
                <w:bCs/>
                <w:szCs w:val="22"/>
              </w:rPr>
            </w:pPr>
          </w:p>
        </w:tc>
        <w:tc>
          <w:tcPr>
            <w:tcW w:w="1276" w:type="dxa"/>
            <w:vMerge/>
            <w:noWrap/>
          </w:tcPr>
          <w:p w14:paraId="548181D8" w14:textId="77777777" w:rsidR="006400DB" w:rsidRPr="00172025" w:rsidRDefault="006400DB" w:rsidP="006400DB">
            <w:pPr>
              <w:contextualSpacing/>
              <w:rPr>
                <w:sz w:val="20"/>
              </w:rPr>
            </w:pPr>
          </w:p>
        </w:tc>
        <w:tc>
          <w:tcPr>
            <w:tcW w:w="1275" w:type="dxa"/>
          </w:tcPr>
          <w:p w14:paraId="075F1310" w14:textId="184BB606" w:rsidR="006400DB" w:rsidRPr="00172025" w:rsidRDefault="006400DB" w:rsidP="00D136B8">
            <w:pPr>
              <w:contextualSpacing/>
              <w:rPr>
                <w:sz w:val="20"/>
              </w:rPr>
            </w:pPr>
            <w:r w:rsidRPr="00172025">
              <w:rPr>
                <w:sz w:val="20"/>
              </w:rPr>
              <w:t>8138.0^</w:t>
            </w:r>
          </w:p>
        </w:tc>
        <w:tc>
          <w:tcPr>
            <w:tcW w:w="1418" w:type="dxa"/>
            <w:noWrap/>
          </w:tcPr>
          <w:p w14:paraId="656B0D40" w14:textId="4C055286" w:rsidR="006400DB" w:rsidRPr="00795AD2" w:rsidRDefault="006400DB" w:rsidP="00D136B8">
            <w:pPr>
              <w:contextualSpacing/>
              <w:rPr>
                <w:sz w:val="20"/>
              </w:rPr>
            </w:pPr>
            <w:r w:rsidRPr="00795AD2">
              <w:rPr>
                <w:rFonts w:cs="Calibri Light"/>
                <w:sz w:val="20"/>
              </w:rPr>
              <w:t>2.9470</w:t>
            </w:r>
          </w:p>
        </w:tc>
        <w:tc>
          <w:tcPr>
            <w:tcW w:w="2835" w:type="dxa"/>
            <w:noWrap/>
          </w:tcPr>
          <w:p w14:paraId="56E8322E" w14:textId="1DC03196" w:rsidR="006400DB" w:rsidRPr="009D01C3" w:rsidRDefault="006400DB" w:rsidP="006400DB">
            <w:pPr>
              <w:contextualSpacing/>
              <w:rPr>
                <w:sz w:val="20"/>
              </w:rPr>
            </w:pPr>
            <w:r w:rsidRPr="009D01C3">
              <w:rPr>
                <w:sz w:val="20"/>
              </w:rPr>
              <w:t>772.6 (combined worldwide)</w:t>
            </w:r>
          </w:p>
        </w:tc>
        <w:tc>
          <w:tcPr>
            <w:tcW w:w="1564" w:type="dxa"/>
            <w:vMerge/>
          </w:tcPr>
          <w:p w14:paraId="24D9F810" w14:textId="77777777" w:rsidR="006400DB" w:rsidRPr="00150572" w:rsidRDefault="006400DB" w:rsidP="006400DB">
            <w:pPr>
              <w:contextualSpacing/>
              <w:rPr>
                <w:sz w:val="20"/>
              </w:rPr>
            </w:pPr>
          </w:p>
        </w:tc>
      </w:tr>
    </w:tbl>
    <w:p w14:paraId="5739315D" w14:textId="3E9F4EC3" w:rsidR="007170FD" w:rsidRPr="00124F6A" w:rsidRDefault="007170FD" w:rsidP="007170FD">
      <w:pPr>
        <w:spacing w:before="60" w:after="0"/>
        <w:rPr>
          <w:sz w:val="18"/>
          <w:szCs w:val="16"/>
          <w:highlight w:val="yellow"/>
        </w:rPr>
      </w:pPr>
      <w:r w:rsidRPr="00AB2DCF">
        <w:rPr>
          <w:sz w:val="18"/>
          <w:szCs w:val="16"/>
        </w:rPr>
        <w:t>*</w:t>
      </w:r>
      <w:r w:rsidR="006D0554">
        <w:rPr>
          <w:sz w:val="18"/>
          <w:szCs w:val="16"/>
        </w:rPr>
        <w:t xml:space="preserve"> </w:t>
      </w:r>
      <w:r w:rsidRPr="00AB2DCF">
        <w:rPr>
          <w:sz w:val="18"/>
          <w:szCs w:val="16"/>
        </w:rPr>
        <w:t>Approaches to turnover thresholds vary. For example, turnover thresholds may require at least two parties to meet the same specified party turnover threshold, turnover may be combined</w:t>
      </w:r>
      <w:r w:rsidR="00B64DD5" w:rsidRPr="00AB2DCF">
        <w:rPr>
          <w:sz w:val="18"/>
          <w:szCs w:val="16"/>
        </w:rPr>
        <w:t>,</w:t>
      </w:r>
      <w:r w:rsidRPr="00AB2DCF">
        <w:rPr>
          <w:sz w:val="18"/>
          <w:szCs w:val="16"/>
        </w:rPr>
        <w:t xml:space="preserve"> there may be different thresholds for each of the parties</w:t>
      </w:r>
      <w:r w:rsidR="00D35D0B" w:rsidRPr="00AB2DCF">
        <w:rPr>
          <w:sz w:val="18"/>
          <w:szCs w:val="16"/>
        </w:rPr>
        <w:t>,</w:t>
      </w:r>
      <w:r w:rsidR="00B64DD5" w:rsidRPr="00AB2DCF">
        <w:rPr>
          <w:sz w:val="18"/>
          <w:szCs w:val="16"/>
        </w:rPr>
        <w:t xml:space="preserve"> and </w:t>
      </w:r>
      <w:r w:rsidR="00D35D0B" w:rsidRPr="00AB2DCF">
        <w:rPr>
          <w:sz w:val="18"/>
          <w:szCs w:val="16"/>
        </w:rPr>
        <w:t>it may be based on global and/or domestic turnover</w:t>
      </w:r>
      <w:r w:rsidRPr="00AB2DCF">
        <w:rPr>
          <w:sz w:val="18"/>
          <w:szCs w:val="16"/>
        </w:rPr>
        <w:t>.</w:t>
      </w:r>
      <w:r w:rsidR="006842E9" w:rsidRPr="00AB2DCF">
        <w:rPr>
          <w:sz w:val="18"/>
          <w:szCs w:val="16"/>
        </w:rPr>
        <w:t xml:space="preserve"> </w:t>
      </w:r>
      <w:r w:rsidRPr="00AB2DCF">
        <w:rPr>
          <w:sz w:val="18"/>
          <w:szCs w:val="16"/>
        </w:rPr>
        <w:t>^ Denotes combined turnover thresholds.</w:t>
      </w:r>
      <w:r w:rsidR="00E775E6" w:rsidRPr="00AB2DCF">
        <w:rPr>
          <w:sz w:val="18"/>
          <w:szCs w:val="16"/>
        </w:rPr>
        <w:t xml:space="preserve"> </w:t>
      </w:r>
      <w:r w:rsidR="00E775E6" w:rsidRPr="00AB2DCF">
        <w:rPr>
          <w:sz w:val="18"/>
          <w:szCs w:val="16"/>
          <w:vertAlign w:val="superscript"/>
        </w:rPr>
        <w:t>#</w:t>
      </w:r>
      <w:r w:rsidR="009F4BAC">
        <w:rPr>
          <w:sz w:val="18"/>
          <w:szCs w:val="16"/>
          <w:vertAlign w:val="superscript"/>
        </w:rPr>
        <w:t xml:space="preserve"> </w:t>
      </w:r>
      <w:r w:rsidR="0043269D" w:rsidRPr="00AB2DCF">
        <w:rPr>
          <w:sz w:val="18"/>
          <w:szCs w:val="16"/>
        </w:rPr>
        <w:t>The n</w:t>
      </w:r>
      <w:r w:rsidR="007F5CBE" w:rsidRPr="00AB2DCF">
        <w:rPr>
          <w:sz w:val="18"/>
          <w:szCs w:val="16"/>
        </w:rPr>
        <w:t>umber of n</w:t>
      </w:r>
      <w:r w:rsidR="00E775E6" w:rsidRPr="00AB2DCF">
        <w:rPr>
          <w:sz w:val="18"/>
          <w:szCs w:val="16"/>
        </w:rPr>
        <w:t>otification</w:t>
      </w:r>
      <w:r w:rsidR="007F5CBE" w:rsidRPr="00AB2DCF">
        <w:rPr>
          <w:sz w:val="18"/>
          <w:szCs w:val="16"/>
        </w:rPr>
        <w:t xml:space="preserve">s for </w:t>
      </w:r>
      <w:r w:rsidR="00FE3C8A" w:rsidRPr="00AB2DCF">
        <w:rPr>
          <w:sz w:val="18"/>
          <w:szCs w:val="16"/>
        </w:rPr>
        <w:t xml:space="preserve">individual </w:t>
      </w:r>
      <w:r w:rsidR="00DC3FA0" w:rsidRPr="00C90D4F">
        <w:rPr>
          <w:sz w:val="18"/>
          <w:szCs w:val="16"/>
        </w:rPr>
        <w:t>European Union</w:t>
      </w:r>
      <w:r w:rsidR="00DC3FA0">
        <w:rPr>
          <w:sz w:val="18"/>
          <w:szCs w:val="16"/>
        </w:rPr>
        <w:t xml:space="preserve"> (</w:t>
      </w:r>
      <w:r w:rsidR="00343B46">
        <w:rPr>
          <w:sz w:val="18"/>
          <w:szCs w:val="16"/>
        </w:rPr>
        <w:t>EU</w:t>
      </w:r>
      <w:r w:rsidR="00DC3FA0">
        <w:rPr>
          <w:sz w:val="18"/>
          <w:szCs w:val="16"/>
        </w:rPr>
        <w:t>)</w:t>
      </w:r>
      <w:r w:rsidR="00343B46">
        <w:rPr>
          <w:sz w:val="18"/>
          <w:szCs w:val="16"/>
        </w:rPr>
        <w:t xml:space="preserve"> or </w:t>
      </w:r>
      <w:r w:rsidR="00DC3FA0" w:rsidRPr="00C90D4F">
        <w:rPr>
          <w:sz w:val="18"/>
          <w:szCs w:val="16"/>
        </w:rPr>
        <w:t xml:space="preserve">European Economic Area </w:t>
      </w:r>
      <w:r w:rsidR="00DC3FA0">
        <w:rPr>
          <w:sz w:val="18"/>
          <w:szCs w:val="16"/>
        </w:rPr>
        <w:t>(</w:t>
      </w:r>
      <w:r w:rsidR="00343B46">
        <w:rPr>
          <w:sz w:val="18"/>
          <w:szCs w:val="16"/>
        </w:rPr>
        <w:t>EEA</w:t>
      </w:r>
      <w:r w:rsidR="00DC3FA0">
        <w:rPr>
          <w:sz w:val="18"/>
          <w:szCs w:val="16"/>
        </w:rPr>
        <w:t>)</w:t>
      </w:r>
      <w:r w:rsidR="00343B46">
        <w:rPr>
          <w:sz w:val="18"/>
          <w:szCs w:val="16"/>
        </w:rPr>
        <w:t xml:space="preserve"> member states are lower than would otherwise </w:t>
      </w:r>
      <w:r w:rsidR="00882FE4">
        <w:rPr>
          <w:sz w:val="18"/>
          <w:szCs w:val="16"/>
        </w:rPr>
        <w:t xml:space="preserve">be the case </w:t>
      </w:r>
      <w:r w:rsidR="00343B46">
        <w:rPr>
          <w:sz w:val="18"/>
          <w:szCs w:val="16"/>
        </w:rPr>
        <w:t xml:space="preserve">as mergers </w:t>
      </w:r>
      <w:r w:rsidR="00E0660F">
        <w:rPr>
          <w:sz w:val="18"/>
          <w:szCs w:val="16"/>
        </w:rPr>
        <w:t>that</w:t>
      </w:r>
      <w:r w:rsidR="00343B46">
        <w:rPr>
          <w:sz w:val="18"/>
          <w:szCs w:val="16"/>
        </w:rPr>
        <w:t xml:space="preserve"> meet the EU thresholds are notified to the European Commission rather than Member State(s)</w:t>
      </w:r>
      <w:r w:rsidR="00003FC1" w:rsidRPr="00124F6A">
        <w:rPr>
          <w:sz w:val="18"/>
          <w:szCs w:val="16"/>
        </w:rPr>
        <w:t>.</w:t>
      </w:r>
    </w:p>
    <w:p w14:paraId="0ABDD3B2" w14:textId="0006927A" w:rsidR="00156F0D" w:rsidRDefault="005D59BD" w:rsidP="00156F0D">
      <w:pPr>
        <w:spacing w:before="60" w:after="0"/>
        <w:rPr>
          <w:sz w:val="18"/>
          <w:szCs w:val="16"/>
        </w:rPr>
      </w:pPr>
      <w:r w:rsidRPr="00124F6A">
        <w:rPr>
          <w:sz w:val="18"/>
          <w:szCs w:val="16"/>
        </w:rPr>
        <w:t>S</w:t>
      </w:r>
      <w:r w:rsidR="008B13FD" w:rsidRPr="00124F6A">
        <w:rPr>
          <w:sz w:val="18"/>
          <w:szCs w:val="16"/>
        </w:rPr>
        <w:t>ource</w:t>
      </w:r>
      <w:r w:rsidR="000D1C10" w:rsidRPr="00124F6A">
        <w:rPr>
          <w:sz w:val="18"/>
          <w:szCs w:val="16"/>
        </w:rPr>
        <w:t xml:space="preserve"> for GDP</w:t>
      </w:r>
      <w:r w:rsidR="008B13FD" w:rsidRPr="00124F6A">
        <w:rPr>
          <w:sz w:val="18"/>
          <w:szCs w:val="16"/>
        </w:rPr>
        <w:t xml:space="preserve">: </w:t>
      </w:r>
      <w:bookmarkStart w:id="27" w:name="_Hlk173873535"/>
      <w:r w:rsidR="00626294" w:rsidRPr="00124F6A">
        <w:rPr>
          <w:sz w:val="18"/>
          <w:szCs w:val="16"/>
        </w:rPr>
        <w:fldChar w:fldCharType="begin"/>
      </w:r>
      <w:r w:rsidR="00626294" w:rsidRPr="00124F6A">
        <w:rPr>
          <w:sz w:val="18"/>
          <w:szCs w:val="16"/>
        </w:rPr>
        <w:instrText>HYPERLINK "https://www.imf.org/external/datamapper/NGDPD@WEO/WEOWORLD/AUS/CAN/CHL/FRA/DEU/IRL/ESP/ITA/JPN/KOR/NOR/DNK/NLD"</w:instrText>
      </w:r>
      <w:r w:rsidR="00626294" w:rsidRPr="00124F6A">
        <w:rPr>
          <w:sz w:val="18"/>
          <w:szCs w:val="16"/>
        </w:rPr>
        <w:fldChar w:fldCharType="separate"/>
      </w:r>
      <w:r w:rsidR="008B13FD" w:rsidRPr="00124F6A">
        <w:rPr>
          <w:rStyle w:val="Hyperlink"/>
          <w:sz w:val="18"/>
          <w:szCs w:val="16"/>
        </w:rPr>
        <w:t>International Monetary Fund</w:t>
      </w:r>
      <w:r w:rsidR="00626294" w:rsidRPr="00124F6A">
        <w:rPr>
          <w:sz w:val="18"/>
          <w:szCs w:val="16"/>
        </w:rPr>
        <w:fldChar w:fldCharType="end"/>
      </w:r>
      <w:bookmarkEnd w:id="27"/>
      <w:r w:rsidR="00786F15" w:rsidRPr="00124F6A">
        <w:rPr>
          <w:sz w:val="18"/>
          <w:szCs w:val="16"/>
        </w:rPr>
        <w:t>. Exchange rate</w:t>
      </w:r>
      <w:r w:rsidR="00CE73C1" w:rsidRPr="00124F6A">
        <w:rPr>
          <w:sz w:val="18"/>
          <w:szCs w:val="16"/>
        </w:rPr>
        <w:t xml:space="preserve"> based on </w:t>
      </w:r>
      <w:hyperlink r:id="rId30" w:history="1">
        <w:r w:rsidR="00786F15" w:rsidRPr="00124F6A">
          <w:rPr>
            <w:rStyle w:val="Hyperlink"/>
            <w:sz w:val="18"/>
            <w:szCs w:val="16"/>
          </w:rPr>
          <w:t xml:space="preserve">ATO </w:t>
        </w:r>
        <w:r w:rsidR="00CE73C1" w:rsidRPr="00124F6A">
          <w:rPr>
            <w:rStyle w:val="Hyperlink"/>
            <w:sz w:val="18"/>
            <w:szCs w:val="16"/>
          </w:rPr>
          <w:t>average rate for USD to AUD</w:t>
        </w:r>
        <w:r w:rsidR="00E9668E" w:rsidRPr="00124F6A">
          <w:rPr>
            <w:rStyle w:val="Hyperlink"/>
            <w:sz w:val="18"/>
            <w:szCs w:val="16"/>
          </w:rPr>
          <w:t xml:space="preserve"> for year ended 31 December 2023</w:t>
        </w:r>
      </w:hyperlink>
      <w:r w:rsidR="00A41D96" w:rsidRPr="00124F6A">
        <w:rPr>
          <w:rStyle w:val="Hyperlink"/>
          <w:sz w:val="18"/>
          <w:szCs w:val="16"/>
        </w:rPr>
        <w:t xml:space="preserve"> </w:t>
      </w:r>
      <w:r w:rsidR="00A41D96" w:rsidRPr="00124F6A">
        <w:rPr>
          <w:rStyle w:val="Hyperlink"/>
          <w:color w:val="auto"/>
          <w:sz w:val="18"/>
          <w:szCs w:val="16"/>
        </w:rPr>
        <w:t>where available</w:t>
      </w:r>
      <w:r w:rsidR="00EE33ED" w:rsidRPr="00124F6A">
        <w:rPr>
          <w:rStyle w:val="Hyperlink"/>
          <w:color w:val="auto"/>
          <w:sz w:val="18"/>
          <w:szCs w:val="16"/>
        </w:rPr>
        <w:t xml:space="preserve"> —</w:t>
      </w:r>
      <w:r w:rsidR="00A41D96" w:rsidRPr="00124F6A">
        <w:rPr>
          <w:rStyle w:val="Hyperlink"/>
          <w:color w:val="auto"/>
          <w:sz w:val="18"/>
          <w:szCs w:val="16"/>
        </w:rPr>
        <w:t xml:space="preserve"> otherwise based on </w:t>
      </w:r>
      <w:r w:rsidR="006D4F3F" w:rsidRPr="00124F6A">
        <w:rPr>
          <w:rStyle w:val="Hyperlink"/>
          <w:color w:val="auto"/>
          <w:sz w:val="18"/>
          <w:szCs w:val="16"/>
        </w:rPr>
        <w:t>Bloomberg data</w:t>
      </w:r>
      <w:r w:rsidR="00786F15" w:rsidRPr="00124F6A">
        <w:rPr>
          <w:sz w:val="18"/>
          <w:szCs w:val="16"/>
        </w:rPr>
        <w:t xml:space="preserve">. </w:t>
      </w:r>
      <w:r w:rsidR="00156F0D" w:rsidRPr="00124F6A">
        <w:rPr>
          <w:sz w:val="18"/>
          <w:szCs w:val="16"/>
        </w:rPr>
        <w:t xml:space="preserve">Australia’s GDP in </w:t>
      </w:r>
      <w:r w:rsidR="00C77598" w:rsidRPr="00124F6A">
        <w:rPr>
          <w:sz w:val="18"/>
          <w:szCs w:val="16"/>
        </w:rPr>
        <w:t xml:space="preserve">2023 </w:t>
      </w:r>
      <w:r w:rsidR="00156F0D" w:rsidRPr="00124F6A">
        <w:rPr>
          <w:sz w:val="18"/>
          <w:szCs w:val="16"/>
        </w:rPr>
        <w:t xml:space="preserve">was AUD </w:t>
      </w:r>
      <w:r w:rsidR="00F10CFC" w:rsidRPr="00124F6A">
        <w:rPr>
          <w:sz w:val="18"/>
          <w:szCs w:val="16"/>
        </w:rPr>
        <w:t>2,62</w:t>
      </w:r>
      <w:r w:rsidR="0079485C" w:rsidRPr="00124F6A">
        <w:rPr>
          <w:sz w:val="18"/>
          <w:szCs w:val="16"/>
        </w:rPr>
        <w:t>2 b</w:t>
      </w:r>
      <w:r w:rsidR="00156F0D" w:rsidRPr="00124F6A">
        <w:rPr>
          <w:sz w:val="18"/>
          <w:szCs w:val="16"/>
        </w:rPr>
        <w:t>illion.</w:t>
      </w:r>
    </w:p>
    <w:p w14:paraId="7158269A" w14:textId="77777777" w:rsidR="000A0E7A" w:rsidRDefault="000A0E7A" w:rsidP="00156F0D">
      <w:pPr>
        <w:spacing w:before="60" w:after="0"/>
        <w:rPr>
          <w:sz w:val="18"/>
          <w:szCs w:val="16"/>
        </w:rPr>
      </w:pPr>
    </w:p>
    <w:p w14:paraId="4133754C" w14:textId="6114E427" w:rsidR="000A0E7A" w:rsidRPr="00E635AA" w:rsidRDefault="00156F0D" w:rsidP="000A0E7A">
      <w:pPr>
        <w:keepNext/>
        <w:rPr>
          <w:b/>
          <w:bCs/>
          <w:highlight w:val="yellow"/>
        </w:rPr>
      </w:pPr>
      <w:r w:rsidRPr="00E635AA" w:rsidDel="005C2DF1">
        <w:rPr>
          <w:b/>
          <w:bCs/>
        </w:rPr>
        <w:lastRenderedPageBreak/>
        <w:t xml:space="preserve">Table </w:t>
      </w:r>
      <w:r w:rsidR="00BD278D">
        <w:rPr>
          <w:b/>
          <w:bCs/>
        </w:rPr>
        <w:t>2</w:t>
      </w:r>
      <w:r w:rsidR="000A0E7A" w:rsidRPr="00E635AA">
        <w:rPr>
          <w:b/>
          <w:bCs/>
        </w:rPr>
        <w:t xml:space="preserve">. </w:t>
      </w:r>
      <w:r w:rsidR="000A0E7A">
        <w:rPr>
          <w:b/>
          <w:bCs/>
        </w:rPr>
        <w:t>Transaction value</w:t>
      </w:r>
      <w:r w:rsidR="000A0E7A" w:rsidRPr="00E635AA">
        <w:rPr>
          <w:b/>
          <w:bCs/>
        </w:rPr>
        <w:t xml:space="preserve"> threshold</w:t>
      </w:r>
      <w:r w:rsidR="00942769">
        <w:rPr>
          <w:b/>
          <w:bCs/>
        </w:rPr>
        <w:t>s</w:t>
      </w:r>
      <w:r w:rsidR="000A0E7A" w:rsidRPr="00E635AA">
        <w:rPr>
          <w:b/>
          <w:bCs/>
        </w:rPr>
        <w:t xml:space="preserve"> in notable jurisdictions, their percentage of GDP in 202</w:t>
      </w:r>
      <w:r w:rsidR="000A0E7A">
        <w:rPr>
          <w:b/>
          <w:bCs/>
        </w:rPr>
        <w:t>3</w:t>
      </w:r>
      <w:r w:rsidR="000A0E7A" w:rsidRPr="00E635AA">
        <w:rPr>
          <w:b/>
          <w:bCs/>
        </w:rPr>
        <w:t xml:space="preserve"> and corresponding threshold in Australia if set at the same percentage of GDP</w:t>
      </w:r>
    </w:p>
    <w:tbl>
      <w:tblPr>
        <w:tblStyle w:val="TableGrid"/>
        <w:tblW w:w="97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1281"/>
        <w:gridCol w:w="1701"/>
        <w:gridCol w:w="1134"/>
        <w:gridCol w:w="2835"/>
        <w:gridCol w:w="1560"/>
      </w:tblGrid>
      <w:tr w:rsidR="000A0E7A" w:rsidRPr="006C4F3B" w14:paraId="24FA8C95" w14:textId="77777777" w:rsidTr="009F4BAC">
        <w:trPr>
          <w:cnfStyle w:val="100000000000" w:firstRow="1" w:lastRow="0" w:firstColumn="0" w:lastColumn="0" w:oddVBand="0" w:evenVBand="0" w:oddHBand="0" w:evenHBand="0" w:firstRowFirstColumn="0" w:firstRowLastColumn="0" w:lastRowFirstColumn="0" w:lastRowLastColumn="0"/>
          <w:trHeight w:val="944"/>
          <w:tblHeader/>
          <w:jc w:val="center"/>
        </w:trPr>
        <w:tc>
          <w:tcPr>
            <w:tcW w:w="1271" w:type="dxa"/>
            <w:noWrap/>
            <w:hideMark/>
          </w:tcPr>
          <w:p w14:paraId="6E27CA6F" w14:textId="77777777" w:rsidR="000A0E7A" w:rsidRPr="006C4F3B" w:rsidRDefault="000A0E7A" w:rsidP="000A0E7A">
            <w:pPr>
              <w:keepNext/>
              <w:rPr>
                <w:bCs/>
              </w:rPr>
            </w:pPr>
            <w:r>
              <w:rPr>
                <w:bCs/>
              </w:rPr>
              <w:t>Jurisdiction</w:t>
            </w:r>
          </w:p>
        </w:tc>
        <w:tc>
          <w:tcPr>
            <w:tcW w:w="1281" w:type="dxa"/>
            <w:noWrap/>
            <w:hideMark/>
          </w:tcPr>
          <w:p w14:paraId="078DFEC3" w14:textId="77777777" w:rsidR="000A0E7A" w:rsidRPr="006C4F3B" w:rsidRDefault="000A0E7A" w:rsidP="000A0E7A">
            <w:pPr>
              <w:keepNext/>
              <w:rPr>
                <w:bCs/>
              </w:rPr>
            </w:pPr>
            <w:r w:rsidRPr="006C4F3B">
              <w:rPr>
                <w:bCs/>
              </w:rPr>
              <w:t xml:space="preserve">GDP </w:t>
            </w:r>
            <w:r>
              <w:rPr>
                <w:bCs/>
              </w:rPr>
              <w:t>2023 (</w:t>
            </w:r>
            <w:r w:rsidRPr="006C4F3B">
              <w:rPr>
                <w:bCs/>
              </w:rPr>
              <w:t xml:space="preserve">AUD </w:t>
            </w:r>
            <w:r>
              <w:rPr>
                <w:bCs/>
              </w:rPr>
              <w:t>in billions)</w:t>
            </w:r>
          </w:p>
        </w:tc>
        <w:tc>
          <w:tcPr>
            <w:tcW w:w="1701" w:type="dxa"/>
          </w:tcPr>
          <w:p w14:paraId="6D732AD2" w14:textId="77777777" w:rsidR="000A0E7A" w:rsidRPr="006C4F3B" w:rsidRDefault="000A0E7A" w:rsidP="000A0E7A">
            <w:pPr>
              <w:keepNext/>
              <w:rPr>
                <w:bCs/>
              </w:rPr>
            </w:pPr>
            <w:r>
              <w:rPr>
                <w:bCs/>
              </w:rPr>
              <w:t xml:space="preserve">Transaction value threshold </w:t>
            </w:r>
            <w:r w:rsidRPr="006C4F3B">
              <w:rPr>
                <w:bCs/>
              </w:rPr>
              <w:t>(AUD</w:t>
            </w:r>
            <w:r>
              <w:rPr>
                <w:bCs/>
              </w:rPr>
              <w:t xml:space="preserve"> in millions</w:t>
            </w:r>
            <w:r w:rsidRPr="006C4F3B">
              <w:rPr>
                <w:bCs/>
              </w:rPr>
              <w:t>) (2023)</w:t>
            </w:r>
          </w:p>
        </w:tc>
        <w:tc>
          <w:tcPr>
            <w:tcW w:w="1134" w:type="dxa"/>
            <w:noWrap/>
            <w:hideMark/>
          </w:tcPr>
          <w:p w14:paraId="763EAC07" w14:textId="77777777" w:rsidR="000A0E7A" w:rsidRPr="006C4F3B" w:rsidRDefault="000A0E7A" w:rsidP="000A0E7A">
            <w:pPr>
              <w:keepNext/>
              <w:rPr>
                <w:bCs/>
              </w:rPr>
            </w:pPr>
            <w:r w:rsidRPr="006C4F3B">
              <w:rPr>
                <w:bCs/>
              </w:rPr>
              <w:t>% of GDP</w:t>
            </w:r>
            <w:r>
              <w:rPr>
                <w:bCs/>
              </w:rPr>
              <w:t xml:space="preserve"> multiplied by 100</w:t>
            </w:r>
          </w:p>
        </w:tc>
        <w:tc>
          <w:tcPr>
            <w:tcW w:w="2835" w:type="dxa"/>
            <w:noWrap/>
            <w:hideMark/>
          </w:tcPr>
          <w:p w14:paraId="5D5A7E8E" w14:textId="77777777" w:rsidR="000A0E7A" w:rsidRPr="006C4F3B" w:rsidRDefault="000A0E7A" w:rsidP="000A0E7A">
            <w:pPr>
              <w:keepNext/>
              <w:rPr>
                <w:bCs/>
              </w:rPr>
            </w:pPr>
            <w:r>
              <w:rPr>
                <w:bCs/>
              </w:rPr>
              <w:t xml:space="preserve">Transaction value </w:t>
            </w:r>
            <w:r w:rsidRPr="006C4F3B">
              <w:rPr>
                <w:bCs/>
              </w:rPr>
              <w:t>threshold (AUD in millions) if set in Australia at same proportion of GDP (2023)</w:t>
            </w:r>
          </w:p>
        </w:tc>
        <w:tc>
          <w:tcPr>
            <w:tcW w:w="1560" w:type="dxa"/>
          </w:tcPr>
          <w:p w14:paraId="73B5EAB8" w14:textId="77777777" w:rsidR="000A0E7A" w:rsidRDefault="000A0E7A" w:rsidP="000A0E7A">
            <w:pPr>
              <w:keepNext/>
              <w:rPr>
                <w:bCs/>
              </w:rPr>
            </w:pPr>
            <w:r w:rsidRPr="004B7D10">
              <w:rPr>
                <w:bCs/>
              </w:rPr>
              <w:t>Number of notified mergers</w:t>
            </w:r>
            <w:r>
              <w:rPr>
                <w:bCs/>
              </w:rPr>
              <w:t xml:space="preserve"> (if available) or decisions</w:t>
            </w:r>
            <w:r w:rsidRPr="004B7D10">
              <w:rPr>
                <w:bCs/>
              </w:rPr>
              <w:t xml:space="preserve"> (2023)</w:t>
            </w:r>
          </w:p>
        </w:tc>
      </w:tr>
      <w:tr w:rsidR="000A0E7A" w:rsidRPr="006C4F3B" w14:paraId="7CBB4763" w14:textId="77777777" w:rsidTr="000A0E7A">
        <w:trPr>
          <w:trHeight w:val="300"/>
          <w:jc w:val="center"/>
        </w:trPr>
        <w:tc>
          <w:tcPr>
            <w:tcW w:w="1271" w:type="dxa"/>
            <w:noWrap/>
          </w:tcPr>
          <w:p w14:paraId="3AEFEDCC" w14:textId="77777777" w:rsidR="000A0E7A" w:rsidRPr="00795AD2" w:rsidRDefault="000A0E7A" w:rsidP="000A0E7A">
            <w:pPr>
              <w:contextualSpacing/>
              <w:rPr>
                <w:b/>
                <w:sz w:val="20"/>
              </w:rPr>
            </w:pPr>
            <w:r w:rsidRPr="00795AD2">
              <w:rPr>
                <w:b/>
                <w:sz w:val="20"/>
              </w:rPr>
              <w:t>South Korea</w:t>
            </w:r>
          </w:p>
        </w:tc>
        <w:tc>
          <w:tcPr>
            <w:tcW w:w="1281" w:type="dxa"/>
            <w:noWrap/>
          </w:tcPr>
          <w:p w14:paraId="21827165" w14:textId="77777777" w:rsidR="000A0E7A" w:rsidRPr="00795AD2" w:rsidRDefault="000A0E7A" w:rsidP="000A0E7A">
            <w:pPr>
              <w:contextualSpacing/>
              <w:rPr>
                <w:sz w:val="20"/>
              </w:rPr>
            </w:pPr>
            <w:r w:rsidRPr="00795AD2">
              <w:rPr>
                <w:sz w:val="20"/>
              </w:rPr>
              <w:t>2,578</w:t>
            </w:r>
          </w:p>
        </w:tc>
        <w:tc>
          <w:tcPr>
            <w:tcW w:w="1701" w:type="dxa"/>
          </w:tcPr>
          <w:p w14:paraId="2444F1B5" w14:textId="77777777" w:rsidR="000A0E7A" w:rsidRPr="00795AD2" w:rsidRDefault="000A0E7A" w:rsidP="000A0E7A">
            <w:pPr>
              <w:contextualSpacing/>
              <w:rPr>
                <w:sz w:val="20"/>
              </w:rPr>
            </w:pPr>
            <w:r w:rsidRPr="00795AD2">
              <w:rPr>
                <w:sz w:val="20"/>
              </w:rPr>
              <w:t>691.6</w:t>
            </w:r>
          </w:p>
        </w:tc>
        <w:tc>
          <w:tcPr>
            <w:tcW w:w="1134" w:type="dxa"/>
            <w:noWrap/>
          </w:tcPr>
          <w:p w14:paraId="03F96135" w14:textId="77777777" w:rsidR="000A0E7A" w:rsidRPr="00795AD2" w:rsidRDefault="000A0E7A" w:rsidP="000A0E7A">
            <w:pPr>
              <w:contextualSpacing/>
              <w:rPr>
                <w:sz w:val="20"/>
              </w:rPr>
            </w:pPr>
            <w:r w:rsidRPr="00795AD2">
              <w:rPr>
                <w:sz w:val="20"/>
              </w:rPr>
              <w:t>2.6829</w:t>
            </w:r>
          </w:p>
        </w:tc>
        <w:tc>
          <w:tcPr>
            <w:tcW w:w="2835" w:type="dxa"/>
            <w:noWrap/>
          </w:tcPr>
          <w:p w14:paraId="1112E76D" w14:textId="77777777" w:rsidR="000A0E7A" w:rsidRPr="00795AD2" w:rsidRDefault="000A0E7A" w:rsidP="000A0E7A">
            <w:pPr>
              <w:contextualSpacing/>
              <w:rPr>
                <w:sz w:val="20"/>
              </w:rPr>
            </w:pPr>
            <w:r w:rsidRPr="00795AD2">
              <w:rPr>
                <w:sz w:val="20"/>
              </w:rPr>
              <w:t>703.4</w:t>
            </w:r>
          </w:p>
        </w:tc>
        <w:tc>
          <w:tcPr>
            <w:tcW w:w="1560" w:type="dxa"/>
          </w:tcPr>
          <w:p w14:paraId="1D450AC7" w14:textId="77777777" w:rsidR="000A0E7A" w:rsidRPr="00795AD2" w:rsidRDefault="000A0E7A" w:rsidP="000A0E7A">
            <w:pPr>
              <w:contextualSpacing/>
              <w:rPr>
                <w:sz w:val="20"/>
              </w:rPr>
            </w:pPr>
            <w:r w:rsidRPr="00795AD2">
              <w:rPr>
                <w:sz w:val="20"/>
              </w:rPr>
              <w:t>927</w:t>
            </w:r>
          </w:p>
        </w:tc>
      </w:tr>
      <w:tr w:rsidR="000A0E7A" w:rsidRPr="006C4F3B" w14:paraId="702DCA02" w14:textId="77777777" w:rsidTr="000A0E7A">
        <w:trPr>
          <w:trHeight w:val="300"/>
          <w:jc w:val="center"/>
        </w:trPr>
        <w:tc>
          <w:tcPr>
            <w:tcW w:w="1271" w:type="dxa"/>
            <w:noWrap/>
            <w:hideMark/>
          </w:tcPr>
          <w:p w14:paraId="37AE8BAA" w14:textId="77777777" w:rsidR="000A0E7A" w:rsidRPr="00795AD2" w:rsidRDefault="000A0E7A" w:rsidP="000A0E7A">
            <w:pPr>
              <w:contextualSpacing/>
              <w:rPr>
                <w:b/>
                <w:sz w:val="20"/>
              </w:rPr>
            </w:pPr>
            <w:r w:rsidRPr="00795AD2">
              <w:rPr>
                <w:b/>
                <w:sz w:val="20"/>
              </w:rPr>
              <w:t>Germany</w:t>
            </w:r>
          </w:p>
        </w:tc>
        <w:tc>
          <w:tcPr>
            <w:tcW w:w="1281" w:type="dxa"/>
            <w:noWrap/>
          </w:tcPr>
          <w:p w14:paraId="3E30C569" w14:textId="77777777" w:rsidR="000A0E7A" w:rsidRPr="00795AD2" w:rsidRDefault="000A0E7A" w:rsidP="000A0E7A">
            <w:pPr>
              <w:contextualSpacing/>
              <w:rPr>
                <w:sz w:val="20"/>
              </w:rPr>
            </w:pPr>
            <w:r w:rsidRPr="00795AD2">
              <w:rPr>
                <w:sz w:val="20"/>
              </w:rPr>
              <w:t>6,709</w:t>
            </w:r>
          </w:p>
        </w:tc>
        <w:tc>
          <w:tcPr>
            <w:tcW w:w="1701" w:type="dxa"/>
          </w:tcPr>
          <w:p w14:paraId="70122003" w14:textId="77777777" w:rsidR="000A0E7A" w:rsidRPr="00795AD2" w:rsidRDefault="000A0E7A" w:rsidP="000A0E7A">
            <w:pPr>
              <w:contextualSpacing/>
              <w:rPr>
                <w:sz w:val="20"/>
              </w:rPr>
            </w:pPr>
            <w:r w:rsidRPr="00795AD2">
              <w:rPr>
                <w:sz w:val="20"/>
              </w:rPr>
              <w:t>651.0</w:t>
            </w:r>
          </w:p>
        </w:tc>
        <w:tc>
          <w:tcPr>
            <w:tcW w:w="1134" w:type="dxa"/>
            <w:noWrap/>
          </w:tcPr>
          <w:p w14:paraId="02630F40" w14:textId="77777777" w:rsidR="000A0E7A" w:rsidRPr="00795AD2" w:rsidRDefault="000A0E7A" w:rsidP="000A0E7A">
            <w:pPr>
              <w:contextualSpacing/>
              <w:rPr>
                <w:sz w:val="20"/>
              </w:rPr>
            </w:pPr>
            <w:r w:rsidRPr="00795AD2">
              <w:rPr>
                <w:sz w:val="20"/>
              </w:rPr>
              <w:t>0.9704</w:t>
            </w:r>
          </w:p>
        </w:tc>
        <w:tc>
          <w:tcPr>
            <w:tcW w:w="2835" w:type="dxa"/>
            <w:noWrap/>
          </w:tcPr>
          <w:p w14:paraId="2D4CBCFA" w14:textId="77777777" w:rsidR="000A0E7A" w:rsidRPr="00795AD2" w:rsidRDefault="000A0E7A" w:rsidP="000A0E7A">
            <w:pPr>
              <w:contextualSpacing/>
              <w:rPr>
                <w:sz w:val="20"/>
              </w:rPr>
            </w:pPr>
            <w:r w:rsidRPr="00795AD2">
              <w:rPr>
                <w:sz w:val="20"/>
              </w:rPr>
              <w:t>254.4</w:t>
            </w:r>
          </w:p>
        </w:tc>
        <w:tc>
          <w:tcPr>
            <w:tcW w:w="1560" w:type="dxa"/>
          </w:tcPr>
          <w:p w14:paraId="73FA9B89" w14:textId="77777777" w:rsidR="000A0E7A" w:rsidRPr="00795AD2" w:rsidRDefault="000A0E7A" w:rsidP="000A0E7A">
            <w:pPr>
              <w:contextualSpacing/>
              <w:rPr>
                <w:sz w:val="20"/>
              </w:rPr>
            </w:pPr>
            <w:r w:rsidRPr="00795AD2">
              <w:rPr>
                <w:sz w:val="20"/>
              </w:rPr>
              <w:t>805</w:t>
            </w:r>
            <w:r w:rsidRPr="00F62AFE">
              <w:rPr>
                <w:b/>
                <w:sz w:val="20"/>
                <w:vertAlign w:val="superscript"/>
              </w:rPr>
              <w:t>#</w:t>
            </w:r>
          </w:p>
        </w:tc>
      </w:tr>
      <w:tr w:rsidR="000A0E7A" w:rsidRPr="006C4F3B" w14:paraId="1C1A2EC2" w14:textId="77777777" w:rsidTr="000A0E7A">
        <w:trPr>
          <w:trHeight w:val="300"/>
          <w:jc w:val="center"/>
        </w:trPr>
        <w:tc>
          <w:tcPr>
            <w:tcW w:w="1271" w:type="dxa"/>
            <w:noWrap/>
          </w:tcPr>
          <w:p w14:paraId="27AB96A7" w14:textId="77777777" w:rsidR="000A0E7A" w:rsidRPr="00795AD2" w:rsidRDefault="000A0E7A" w:rsidP="000A0E7A">
            <w:pPr>
              <w:contextualSpacing/>
              <w:rPr>
                <w:b/>
                <w:sz w:val="20"/>
              </w:rPr>
            </w:pPr>
            <w:r w:rsidRPr="00795AD2">
              <w:rPr>
                <w:b/>
                <w:sz w:val="20"/>
              </w:rPr>
              <w:t>Austria</w:t>
            </w:r>
          </w:p>
        </w:tc>
        <w:tc>
          <w:tcPr>
            <w:tcW w:w="1281" w:type="dxa"/>
            <w:noWrap/>
          </w:tcPr>
          <w:p w14:paraId="7CBF5C1B" w14:textId="77777777" w:rsidR="000A0E7A" w:rsidRPr="00795AD2" w:rsidRDefault="000A0E7A" w:rsidP="000A0E7A">
            <w:pPr>
              <w:contextualSpacing/>
              <w:rPr>
                <w:sz w:val="20"/>
              </w:rPr>
            </w:pPr>
            <w:r w:rsidRPr="00795AD2">
              <w:rPr>
                <w:sz w:val="20"/>
              </w:rPr>
              <w:t>782</w:t>
            </w:r>
          </w:p>
        </w:tc>
        <w:tc>
          <w:tcPr>
            <w:tcW w:w="1701" w:type="dxa"/>
          </w:tcPr>
          <w:p w14:paraId="543D7709" w14:textId="77777777" w:rsidR="000A0E7A" w:rsidRPr="00795AD2" w:rsidRDefault="000A0E7A" w:rsidP="000A0E7A">
            <w:pPr>
              <w:contextualSpacing/>
              <w:rPr>
                <w:sz w:val="20"/>
              </w:rPr>
            </w:pPr>
            <w:r w:rsidRPr="00795AD2">
              <w:rPr>
                <w:sz w:val="20"/>
              </w:rPr>
              <w:t>325.5</w:t>
            </w:r>
          </w:p>
        </w:tc>
        <w:tc>
          <w:tcPr>
            <w:tcW w:w="1134" w:type="dxa"/>
            <w:noWrap/>
          </w:tcPr>
          <w:p w14:paraId="550C7E98" w14:textId="77777777" w:rsidR="000A0E7A" w:rsidRPr="00795AD2" w:rsidRDefault="000A0E7A" w:rsidP="000A0E7A">
            <w:pPr>
              <w:contextualSpacing/>
              <w:rPr>
                <w:sz w:val="20"/>
              </w:rPr>
            </w:pPr>
            <w:r w:rsidRPr="00795AD2">
              <w:rPr>
                <w:sz w:val="20"/>
              </w:rPr>
              <w:t>4.1615</w:t>
            </w:r>
          </w:p>
        </w:tc>
        <w:tc>
          <w:tcPr>
            <w:tcW w:w="2835" w:type="dxa"/>
            <w:noWrap/>
          </w:tcPr>
          <w:p w14:paraId="5B615D64" w14:textId="77777777" w:rsidR="000A0E7A" w:rsidRPr="00795AD2" w:rsidRDefault="000A0E7A" w:rsidP="000A0E7A">
            <w:pPr>
              <w:spacing w:before="0" w:after="0"/>
              <w:rPr>
                <w:sz w:val="20"/>
              </w:rPr>
            </w:pPr>
            <w:r w:rsidRPr="00795AD2">
              <w:rPr>
                <w:sz w:val="20"/>
              </w:rPr>
              <w:t>1,091.0</w:t>
            </w:r>
          </w:p>
        </w:tc>
        <w:tc>
          <w:tcPr>
            <w:tcW w:w="1560" w:type="dxa"/>
          </w:tcPr>
          <w:p w14:paraId="4148ACCE" w14:textId="77777777" w:rsidR="000A0E7A" w:rsidRPr="00795AD2" w:rsidRDefault="000A0E7A" w:rsidP="000A0E7A">
            <w:pPr>
              <w:contextualSpacing/>
              <w:rPr>
                <w:sz w:val="20"/>
              </w:rPr>
            </w:pPr>
            <w:r w:rsidRPr="00795AD2">
              <w:rPr>
                <w:sz w:val="20"/>
              </w:rPr>
              <w:t>294</w:t>
            </w:r>
            <w:r w:rsidRPr="00F62AFE">
              <w:rPr>
                <w:b/>
                <w:sz w:val="20"/>
                <w:vertAlign w:val="superscript"/>
              </w:rPr>
              <w:t>#</w:t>
            </w:r>
          </w:p>
        </w:tc>
      </w:tr>
    </w:tbl>
    <w:p w14:paraId="19741B5A" w14:textId="7CB5054E" w:rsidR="008C527F" w:rsidRDefault="000A0E7A" w:rsidP="00BD278D">
      <w:pPr>
        <w:spacing w:before="60" w:after="0"/>
        <w:rPr>
          <w:sz w:val="18"/>
          <w:szCs w:val="16"/>
        </w:rPr>
      </w:pPr>
      <w:r w:rsidRPr="00C90D4F">
        <w:rPr>
          <w:sz w:val="18"/>
          <w:szCs w:val="16"/>
          <w:vertAlign w:val="superscript"/>
        </w:rPr>
        <w:t>#</w:t>
      </w:r>
      <w:r w:rsidR="009F4BAC">
        <w:rPr>
          <w:sz w:val="18"/>
          <w:szCs w:val="16"/>
          <w:vertAlign w:val="superscript"/>
        </w:rPr>
        <w:t xml:space="preserve"> </w:t>
      </w:r>
      <w:r w:rsidRPr="00C90D4F">
        <w:rPr>
          <w:sz w:val="18"/>
          <w:szCs w:val="16"/>
        </w:rPr>
        <w:t xml:space="preserve">The number of notifications for individual countries in the </w:t>
      </w:r>
      <w:r w:rsidR="00DC3FA0">
        <w:rPr>
          <w:sz w:val="18"/>
          <w:szCs w:val="16"/>
        </w:rPr>
        <w:t>EU</w:t>
      </w:r>
      <w:r w:rsidRPr="00C90D4F">
        <w:rPr>
          <w:sz w:val="18"/>
          <w:szCs w:val="16"/>
        </w:rPr>
        <w:t xml:space="preserve"> and </w:t>
      </w:r>
      <w:r w:rsidR="00DC3FA0">
        <w:rPr>
          <w:sz w:val="18"/>
          <w:szCs w:val="16"/>
        </w:rPr>
        <w:t>EEA</w:t>
      </w:r>
      <w:r w:rsidRPr="00C90D4F">
        <w:rPr>
          <w:sz w:val="18"/>
          <w:szCs w:val="16"/>
        </w:rPr>
        <w:t xml:space="preserve"> are lower than otherwise would be the case </w:t>
      </w:r>
      <w:r>
        <w:rPr>
          <w:sz w:val="18"/>
          <w:szCs w:val="16"/>
        </w:rPr>
        <w:t xml:space="preserve">as mergers </w:t>
      </w:r>
      <w:r w:rsidR="00E0660F">
        <w:rPr>
          <w:sz w:val="18"/>
          <w:szCs w:val="16"/>
        </w:rPr>
        <w:t>that</w:t>
      </w:r>
      <w:r>
        <w:rPr>
          <w:sz w:val="18"/>
          <w:szCs w:val="16"/>
        </w:rPr>
        <w:t xml:space="preserve"> meet the EU thresholds are notified to the European Commission rather than Member State(s)</w:t>
      </w:r>
      <w:r w:rsidRPr="00C90D4F">
        <w:rPr>
          <w:sz w:val="18"/>
          <w:szCs w:val="16"/>
        </w:rPr>
        <w:t>.</w:t>
      </w:r>
    </w:p>
    <w:p w14:paraId="7BEC9638" w14:textId="53FFDAA7" w:rsidR="000D1C10" w:rsidRDefault="000D1C10" w:rsidP="00BD278D">
      <w:pPr>
        <w:spacing w:before="60" w:after="0"/>
        <w:rPr>
          <w:sz w:val="20"/>
          <w:szCs w:val="18"/>
        </w:rPr>
      </w:pPr>
      <w:r w:rsidRPr="000E4955" w:rsidDel="005C2DF1">
        <w:rPr>
          <w:sz w:val="18"/>
          <w:szCs w:val="16"/>
        </w:rPr>
        <w:t xml:space="preserve">Source for GDP: </w:t>
      </w:r>
      <w:hyperlink r:id="rId31" w:history="1">
        <w:r w:rsidRPr="000E4955" w:rsidDel="005C2DF1">
          <w:rPr>
            <w:rStyle w:val="Hyperlink"/>
            <w:sz w:val="18"/>
            <w:szCs w:val="16"/>
          </w:rPr>
          <w:t>International Monetary Fund</w:t>
        </w:r>
      </w:hyperlink>
      <w:r w:rsidRPr="000E4955" w:rsidDel="005C2DF1">
        <w:rPr>
          <w:sz w:val="18"/>
          <w:szCs w:val="16"/>
        </w:rPr>
        <w:t xml:space="preserve">. Exchange rate based on </w:t>
      </w:r>
      <w:hyperlink r:id="rId32" w:history="1">
        <w:r w:rsidRPr="000E4955" w:rsidDel="005C2DF1">
          <w:rPr>
            <w:rStyle w:val="Hyperlink"/>
            <w:sz w:val="18"/>
            <w:szCs w:val="16"/>
          </w:rPr>
          <w:t>ATO average rate for USD to AUD for year ended 31 December 2023</w:t>
        </w:r>
      </w:hyperlink>
      <w:r w:rsidR="000B513F" w:rsidRPr="000E4955" w:rsidDel="005C2DF1">
        <w:rPr>
          <w:rStyle w:val="Hyperlink"/>
          <w:sz w:val="18"/>
          <w:szCs w:val="16"/>
        </w:rPr>
        <w:t xml:space="preserve"> </w:t>
      </w:r>
      <w:r w:rsidR="000B513F" w:rsidRPr="000E4955" w:rsidDel="005C2DF1">
        <w:rPr>
          <w:rStyle w:val="Hyperlink"/>
          <w:color w:val="auto"/>
          <w:sz w:val="18"/>
          <w:szCs w:val="16"/>
        </w:rPr>
        <w:t xml:space="preserve">where available — otherwise based on </w:t>
      </w:r>
      <w:r w:rsidR="00B50304" w:rsidRPr="000E4955" w:rsidDel="005C2DF1">
        <w:rPr>
          <w:rStyle w:val="Hyperlink"/>
          <w:color w:val="auto"/>
          <w:sz w:val="18"/>
          <w:szCs w:val="16"/>
        </w:rPr>
        <w:t>Bloomberg data</w:t>
      </w:r>
      <w:r w:rsidRPr="000E4955" w:rsidDel="005C2DF1">
        <w:rPr>
          <w:sz w:val="18"/>
          <w:szCs w:val="16"/>
        </w:rPr>
        <w:t>. Australia’s GDP in 2023 was AUD 2,62</w:t>
      </w:r>
      <w:r w:rsidR="00B55A2E" w:rsidRPr="000E4955" w:rsidDel="005C2DF1">
        <w:rPr>
          <w:sz w:val="18"/>
          <w:szCs w:val="16"/>
        </w:rPr>
        <w:t>2 b</w:t>
      </w:r>
      <w:r w:rsidRPr="000E4955" w:rsidDel="005C2DF1">
        <w:rPr>
          <w:sz w:val="18"/>
          <w:szCs w:val="16"/>
        </w:rPr>
        <w:t>illion.</w:t>
      </w:r>
    </w:p>
    <w:p w14:paraId="407B0ED3" w14:textId="5B0C96DB" w:rsidR="00F5074D" w:rsidRPr="00C91381" w:rsidRDefault="00F5074D" w:rsidP="00082BCB">
      <w:pPr>
        <w:pStyle w:val="Heading3"/>
        <w:rPr>
          <w:rStyle w:val="Strong"/>
        </w:rPr>
      </w:pPr>
      <w:bookmarkStart w:id="28" w:name="_Toc176443945"/>
      <w:r>
        <w:rPr>
          <w:rStyle w:val="Strong"/>
        </w:rPr>
        <w:t>Treasury’s approach to designing the monetary thresholds</w:t>
      </w:r>
      <w:bookmarkEnd w:id="28"/>
    </w:p>
    <w:p w14:paraId="4F98853A" w14:textId="4C03F79F" w:rsidR="00F22362" w:rsidRDefault="00F22362" w:rsidP="00F22362">
      <w:r>
        <w:t>Treasury is proposing a two</w:t>
      </w:r>
      <w:r>
        <w:noBreakHyphen/>
        <w:t xml:space="preserve">limbed monetary threshold </w:t>
      </w:r>
      <w:r w:rsidR="00E52DBF">
        <w:t xml:space="preserve">(indexed over time) </w:t>
      </w:r>
      <w:r>
        <w:t xml:space="preserve">where at least one of the limbs must be met </w:t>
      </w:r>
      <w:r w:rsidR="00A87AC9">
        <w:t xml:space="preserve">for an acquisition </w:t>
      </w:r>
      <w:r>
        <w:t>to be notifiable through the monetary threshold, assuming a material connection to Australia.</w:t>
      </w:r>
    </w:p>
    <w:p w14:paraId="4995AA2D" w14:textId="0C70DAE8" w:rsidR="00171058" w:rsidRDefault="00171058" w:rsidP="00171058">
      <w:pPr>
        <w:pStyle w:val="Bullet"/>
      </w:pPr>
      <w:r>
        <w:t>The first limb will be met if: the combined Australian turnover of the merger parties (including the acquirer group’s turnover</w:t>
      </w:r>
      <w:r w:rsidR="00911E89">
        <w:t>, excluding the seller</w:t>
      </w:r>
      <w:r>
        <w:t xml:space="preserve">) is at least $200 million; </w:t>
      </w:r>
      <w:r w:rsidRPr="00CF62B4">
        <w:rPr>
          <w:u w:val="single"/>
        </w:rPr>
        <w:t>AND</w:t>
      </w:r>
      <w:r w:rsidRPr="00060FAD">
        <w:t xml:space="preserve"> either </w:t>
      </w:r>
      <w:r>
        <w:t>the</w:t>
      </w:r>
      <w:r w:rsidDel="00A81BEF">
        <w:t xml:space="preserve"> </w:t>
      </w:r>
      <w:r>
        <w:t>Australian turnover</w:t>
      </w:r>
      <w:r w:rsidRPr="002C44B9">
        <w:t xml:space="preserve"> is at least $</w:t>
      </w:r>
      <w:r w:rsidRPr="00FD2040">
        <w:t>4</w:t>
      </w:r>
      <w:r w:rsidRPr="002C44B9">
        <w:t>0</w:t>
      </w:r>
      <w:r>
        <w:t> </w:t>
      </w:r>
      <w:r w:rsidRPr="002C44B9">
        <w:t>million</w:t>
      </w:r>
      <w:r>
        <w:t xml:space="preserve"> for each of at least two of the merger parties </w:t>
      </w:r>
      <w:r w:rsidRPr="00CF62B4">
        <w:rPr>
          <w:u w:val="single"/>
        </w:rPr>
        <w:t>OR</w:t>
      </w:r>
      <w:r>
        <w:t xml:space="preserve"> the </w:t>
      </w:r>
      <w:r w:rsidRPr="00085D81">
        <w:t>global transaction value is at least $200</w:t>
      </w:r>
      <w:r w:rsidRPr="00FD2040">
        <w:t xml:space="preserve"> million</w:t>
      </w:r>
      <w:r>
        <w:t>.</w:t>
      </w:r>
    </w:p>
    <w:p w14:paraId="0DAE5159" w14:textId="7FA22D39" w:rsidR="00171058" w:rsidRDefault="00171058" w:rsidP="00171058">
      <w:pPr>
        <w:pStyle w:val="Bullet"/>
      </w:pPr>
      <w:r>
        <w:t xml:space="preserve">The second limb will be met if: the acquirer group’s Australian turnover is at least $500 million; </w:t>
      </w:r>
      <w:r w:rsidRPr="00CF62B4">
        <w:rPr>
          <w:u w:val="single"/>
        </w:rPr>
        <w:t>AND</w:t>
      </w:r>
      <w:r w:rsidRPr="00060FAD">
        <w:t xml:space="preserve"> either </w:t>
      </w:r>
      <w:r w:rsidRPr="001452E8">
        <w:t>t</w:t>
      </w:r>
      <w:r>
        <w:t>he</w:t>
      </w:r>
      <w:r w:rsidDel="00A81BEF">
        <w:t xml:space="preserve"> </w:t>
      </w:r>
      <w:r>
        <w:t>Australian turnover</w:t>
      </w:r>
      <w:r w:rsidRPr="00FD2040">
        <w:t xml:space="preserve"> is at least $10 million </w:t>
      </w:r>
      <w:r>
        <w:t xml:space="preserve">for each of at least two of the merger parties </w:t>
      </w:r>
      <w:r w:rsidRPr="00CF62B4">
        <w:rPr>
          <w:u w:val="single"/>
        </w:rPr>
        <w:t>OR</w:t>
      </w:r>
      <w:r>
        <w:t xml:space="preserve"> the global transaction value is at least </w:t>
      </w:r>
      <w:r w:rsidRPr="003232F0">
        <w:t>$50 million</w:t>
      </w:r>
      <w:r>
        <w:t>.</w:t>
      </w:r>
    </w:p>
    <w:p w14:paraId="70EA3583" w14:textId="33F709E7" w:rsidR="00F22362" w:rsidRDefault="00F22362" w:rsidP="00DD2DEE">
      <w:pPr>
        <w:tabs>
          <w:tab w:val="left" w:pos="2012"/>
        </w:tabs>
      </w:pPr>
      <w:r>
        <w:t xml:space="preserve">In </w:t>
      </w:r>
      <w:r w:rsidR="00204E65">
        <w:t>setting the value</w:t>
      </w:r>
      <w:r w:rsidR="00907A2B">
        <w:t>s</w:t>
      </w:r>
      <w:r w:rsidR="00204E65">
        <w:t xml:space="preserve"> for</w:t>
      </w:r>
      <w:r>
        <w:t xml:space="preserve"> these thresholds, Treasury </w:t>
      </w:r>
      <w:r w:rsidR="00DA5EEB">
        <w:t xml:space="preserve">considered the intended objectives of the thresholds and </w:t>
      </w:r>
      <w:r>
        <w:t>used a range of data sources to inform its assessment. While t</w:t>
      </w:r>
      <w:r w:rsidRPr="009F5483">
        <w:t>here is no existing complete database of merger activity in Australia</w:t>
      </w:r>
      <w:r>
        <w:t xml:space="preserve"> and each data source has its own limitations, collectively </w:t>
      </w:r>
      <w:r w:rsidR="00546603">
        <w:t xml:space="preserve">the data assists </w:t>
      </w:r>
      <w:r>
        <w:t>to better understand</w:t>
      </w:r>
      <w:r w:rsidR="00DD2DEE">
        <w:t xml:space="preserve"> </w:t>
      </w:r>
      <w:r>
        <w:t>how many acquisitions of concern in the ACCC</w:t>
      </w:r>
      <w:r w:rsidR="00301AD7">
        <w:t>’s historical</w:t>
      </w:r>
      <w:r>
        <w:t xml:space="preserve"> public merger review data would be captured</w:t>
      </w:r>
      <w:r w:rsidR="00EA7E0B">
        <w:t>,</w:t>
      </w:r>
      <w:r w:rsidR="00194D0F">
        <w:t xml:space="preserve"> and</w:t>
      </w:r>
      <w:r w:rsidR="00DD2DEE">
        <w:t xml:space="preserve"> </w:t>
      </w:r>
      <w:r>
        <w:t xml:space="preserve">how many </w:t>
      </w:r>
      <w:r w:rsidR="0085042B">
        <w:t xml:space="preserve">acquisitions </w:t>
      </w:r>
      <w:r>
        <w:t>would be notifiable</w:t>
      </w:r>
      <w:r w:rsidR="00F079B6">
        <w:t>.</w:t>
      </w:r>
    </w:p>
    <w:p w14:paraId="571D144E" w14:textId="2FE141C6" w:rsidR="00E966EB" w:rsidRDefault="001E29CC" w:rsidP="004F7A8C">
      <w:r>
        <w:t xml:space="preserve">Treasury considers mergers </w:t>
      </w:r>
      <w:r w:rsidR="00DD2DEE">
        <w:t xml:space="preserve">caught by the first limb </w:t>
      </w:r>
      <w:r w:rsidR="00C93510">
        <w:t xml:space="preserve">of the turnover monetary threshold </w:t>
      </w:r>
      <w:r w:rsidR="00133E47">
        <w:t>are</w:t>
      </w:r>
      <w:r w:rsidR="00CB2512">
        <w:t xml:space="preserve"> mergers </w:t>
      </w:r>
      <w:r w:rsidR="00A06C1C">
        <w:t xml:space="preserve">that </w:t>
      </w:r>
      <w:r w:rsidR="00CB2512">
        <w:t>are</w:t>
      </w:r>
      <w:r>
        <w:t xml:space="preserve"> economically significant in size</w:t>
      </w:r>
      <w:r w:rsidR="005F1E6D">
        <w:t>.</w:t>
      </w:r>
      <w:r>
        <w:t xml:space="preserve"> </w:t>
      </w:r>
      <w:r w:rsidR="000076A4">
        <w:t xml:space="preserve">The smallest acquisitions captured </w:t>
      </w:r>
      <w:r w:rsidR="002E73CD">
        <w:t xml:space="preserve">by this limb </w:t>
      </w:r>
      <w:r w:rsidR="002646F3">
        <w:t>would</w:t>
      </w:r>
      <w:r w:rsidR="00CB2512">
        <w:t xml:space="preserve"> be </w:t>
      </w:r>
      <w:r>
        <w:t>the acquisition</w:t>
      </w:r>
      <w:r w:rsidR="009E0EDE">
        <w:t>s</w:t>
      </w:r>
      <w:r>
        <w:t xml:space="preserve"> of </w:t>
      </w:r>
      <w:r w:rsidR="000E13F0">
        <w:t>upper</w:t>
      </w:r>
      <w:r w:rsidR="000E13F0">
        <w:noBreakHyphen/>
      </w:r>
      <w:r>
        <w:t>medium businesses</w:t>
      </w:r>
      <w:r w:rsidR="00FA03B3">
        <w:t xml:space="preserve"> </w:t>
      </w:r>
      <w:r w:rsidR="00FA3DE9">
        <w:t>($</w:t>
      </w:r>
      <w:r w:rsidR="00CD5081">
        <w:t xml:space="preserve">40 </w:t>
      </w:r>
      <w:r w:rsidR="00FA3DE9">
        <w:t>million</w:t>
      </w:r>
      <w:r w:rsidR="00033FE6">
        <w:t xml:space="preserve"> turnover</w:t>
      </w:r>
      <w:r w:rsidR="00FA3DE9">
        <w:t xml:space="preserve">) </w:t>
      </w:r>
      <w:r w:rsidR="00874794">
        <w:t xml:space="preserve">by </w:t>
      </w:r>
      <w:r w:rsidR="008F7717">
        <w:t xml:space="preserve">very </w:t>
      </w:r>
      <w:r w:rsidR="000E13F0">
        <w:t xml:space="preserve">big </w:t>
      </w:r>
      <w:r w:rsidR="009D5318">
        <w:t xml:space="preserve">medium businesses </w:t>
      </w:r>
      <w:r w:rsidR="00FA3DE9">
        <w:t>($1</w:t>
      </w:r>
      <w:r w:rsidR="000F4FF3">
        <w:t>6</w:t>
      </w:r>
      <w:r w:rsidR="00FA3DE9">
        <w:t>0 million</w:t>
      </w:r>
      <w:r w:rsidR="00033FE6">
        <w:t xml:space="preserve"> turnover</w:t>
      </w:r>
      <w:r w:rsidR="00FA3DE9">
        <w:t>)</w:t>
      </w:r>
      <w:r>
        <w:t>.</w:t>
      </w:r>
      <w:r w:rsidRPr="00A81A9C">
        <w:rPr>
          <w:rStyle w:val="FootnoteReference"/>
          <w:vertAlign w:val="superscript"/>
        </w:rPr>
        <w:footnoteReference w:id="41"/>
      </w:r>
      <w:r>
        <w:t xml:space="preserve"> </w:t>
      </w:r>
      <w:r w:rsidR="00834421">
        <w:t>Treasury’s analysis suggests s</w:t>
      </w:r>
      <w:r w:rsidR="005C71CC">
        <w:t xml:space="preserve">etting thresholds above these values risks </w:t>
      </w:r>
      <w:r w:rsidR="00564B92">
        <w:t xml:space="preserve">the monetary threshold </w:t>
      </w:r>
      <w:r w:rsidR="005C71CC">
        <w:t>capturing too few</w:t>
      </w:r>
      <w:r w:rsidR="0070746C">
        <w:t xml:space="preserve"> of the</w:t>
      </w:r>
      <w:r w:rsidR="005C71CC">
        <w:t xml:space="preserve"> acquisitions of concern </w:t>
      </w:r>
      <w:r w:rsidR="00564B92">
        <w:t>based on</w:t>
      </w:r>
      <w:r w:rsidR="005C71CC">
        <w:t xml:space="preserve"> the ACCC</w:t>
      </w:r>
      <w:r w:rsidR="00640298">
        <w:t xml:space="preserve">‘s historical </w:t>
      </w:r>
      <w:r w:rsidR="00274F17">
        <w:t xml:space="preserve">public </w:t>
      </w:r>
      <w:r w:rsidR="001F3614">
        <w:t xml:space="preserve">merger </w:t>
      </w:r>
      <w:r w:rsidR="00564B92">
        <w:t xml:space="preserve">review </w:t>
      </w:r>
      <w:r w:rsidR="005C71CC">
        <w:t>data</w:t>
      </w:r>
      <w:r>
        <w:t xml:space="preserve">. </w:t>
      </w:r>
      <w:r w:rsidR="00A32C66">
        <w:t>S</w:t>
      </w:r>
      <w:r>
        <w:t xml:space="preserve">etting thresholds lower than these values </w:t>
      </w:r>
      <w:r w:rsidR="009C637A">
        <w:t xml:space="preserve">might </w:t>
      </w:r>
      <w:r>
        <w:t>capture more acquisitions of concern</w:t>
      </w:r>
      <w:r w:rsidR="00F22116">
        <w:t>, but</w:t>
      </w:r>
      <w:r w:rsidR="009C637A">
        <w:t xml:space="preserve"> would</w:t>
      </w:r>
      <w:r w:rsidR="00A32C66">
        <w:t xml:space="preserve"> </w:t>
      </w:r>
      <w:r>
        <w:t>undermine a risk</w:t>
      </w:r>
      <w:r w:rsidR="00496F28">
        <w:noBreakHyphen/>
      </w:r>
      <w:r>
        <w:t xml:space="preserve">based approach and </w:t>
      </w:r>
      <w:r w:rsidR="00FC2851">
        <w:t xml:space="preserve">most likely </w:t>
      </w:r>
      <w:r>
        <w:t>capture too many acquisitions that are less economically significant.</w:t>
      </w:r>
    </w:p>
    <w:p w14:paraId="43609D31" w14:textId="289C31EC" w:rsidR="0033613E" w:rsidRDefault="00540939" w:rsidP="00F079B6">
      <w:r>
        <w:lastRenderedPageBreak/>
        <w:t>To further target</w:t>
      </w:r>
      <w:r w:rsidR="00F079B6">
        <w:t xml:space="preserve"> acquisitions of concern by very large acquirers</w:t>
      </w:r>
      <w:r w:rsidR="00F079B6" w:rsidRPr="009A5A76">
        <w:t xml:space="preserve"> </w:t>
      </w:r>
      <w:r w:rsidR="00F079B6">
        <w:t xml:space="preserve">without excessively reducing the thresholds under the first limb, </w:t>
      </w:r>
      <w:r w:rsidR="00F079B6" w:rsidRPr="00DA583A">
        <w:t xml:space="preserve">Treasury proposes a second limb that imposes a significantly higher threshold for the size of the </w:t>
      </w:r>
      <w:r w:rsidR="000B2AC3">
        <w:t xml:space="preserve">turnover of the </w:t>
      </w:r>
      <w:r w:rsidRPr="00DA583A">
        <w:t>acquirer</w:t>
      </w:r>
      <w:r>
        <w:t xml:space="preserve"> group</w:t>
      </w:r>
      <w:r w:rsidRPr="00DA583A">
        <w:t xml:space="preserve"> ($500 million) </w:t>
      </w:r>
      <w:r w:rsidR="00F079B6" w:rsidRPr="00DA583A">
        <w:t xml:space="preserve">but with a lower </w:t>
      </w:r>
      <w:r w:rsidR="000B2AC3">
        <w:t xml:space="preserve">threshold for the turnover of </w:t>
      </w:r>
      <w:r w:rsidR="00610CC8">
        <w:t>at least two of the parties</w:t>
      </w:r>
      <w:r w:rsidR="00F079B6" w:rsidRPr="00DA583A">
        <w:t xml:space="preserve"> ($10 million)</w:t>
      </w:r>
      <w:r w:rsidR="00FC2624" w:rsidRPr="00710D4D">
        <w:t xml:space="preserve"> and </w:t>
      </w:r>
      <w:r w:rsidR="005D3FE2">
        <w:t xml:space="preserve">a lower </w:t>
      </w:r>
      <w:r w:rsidR="00FC2624" w:rsidRPr="00710D4D">
        <w:t>transaction value threshold ($50 million)</w:t>
      </w:r>
      <w:r w:rsidR="00F079B6" w:rsidRPr="00DA583A">
        <w:t>.</w:t>
      </w:r>
      <w:r w:rsidR="00F71AFF">
        <w:t xml:space="preserve"> T</w:t>
      </w:r>
      <w:r w:rsidR="00FB5285">
        <w:t xml:space="preserve">argeting only very large businesses </w:t>
      </w:r>
      <w:r w:rsidR="00F71AFF">
        <w:t xml:space="preserve">aligns with the objectives </w:t>
      </w:r>
      <w:r w:rsidR="00FB1D88">
        <w:t xml:space="preserve">and </w:t>
      </w:r>
      <w:r w:rsidR="005D3FE2">
        <w:t xml:space="preserve">will assist </w:t>
      </w:r>
      <w:r w:rsidR="00FB5285">
        <w:t xml:space="preserve">to </w:t>
      </w:r>
      <w:r w:rsidR="00DA22D0">
        <w:t>limit</w:t>
      </w:r>
      <w:r w:rsidR="00FB5285">
        <w:t xml:space="preserve"> the number of </w:t>
      </w:r>
      <w:r w:rsidR="0036069D">
        <w:t>acquisitions</w:t>
      </w:r>
      <w:r w:rsidR="00FB5285">
        <w:t xml:space="preserve"> captured through the second limb</w:t>
      </w:r>
      <w:r w:rsidR="00432B8F">
        <w:t xml:space="preserve"> </w:t>
      </w:r>
      <w:r w:rsidR="001A57C5">
        <w:t xml:space="preserve">by focusing on the largest </w:t>
      </w:r>
      <w:r w:rsidR="26A2C29C">
        <w:t>1000</w:t>
      </w:r>
      <w:r w:rsidR="00432B8F">
        <w:t xml:space="preserve"> </w:t>
      </w:r>
      <w:r w:rsidR="00710E70">
        <w:t xml:space="preserve">or so </w:t>
      </w:r>
      <w:r w:rsidR="00432B8F">
        <w:t xml:space="preserve">businesses with </w:t>
      </w:r>
      <w:r w:rsidR="00E95926">
        <w:t xml:space="preserve">at least </w:t>
      </w:r>
      <w:r w:rsidR="00432B8F">
        <w:t>$500 million</w:t>
      </w:r>
      <w:r w:rsidR="00E95926">
        <w:t xml:space="preserve"> in turnover</w:t>
      </w:r>
      <w:r w:rsidR="00FB5285">
        <w:t>.</w:t>
      </w:r>
      <w:r w:rsidR="006573C7" w:rsidRPr="001E79FE">
        <w:rPr>
          <w:rStyle w:val="FootnoteReference"/>
          <w:vertAlign w:val="superscript"/>
        </w:rPr>
        <w:footnoteReference w:id="42"/>
      </w:r>
    </w:p>
    <w:p w14:paraId="31287A44" w14:textId="6746A6A0" w:rsidR="00F079B6" w:rsidRDefault="00F079B6" w:rsidP="00F079B6">
      <w:r w:rsidRPr="005D5EF6">
        <w:t xml:space="preserve">The $10 million </w:t>
      </w:r>
      <w:r w:rsidR="000E58DE" w:rsidRPr="00493DA4">
        <w:t>threshold</w:t>
      </w:r>
      <w:r w:rsidR="000E58DE" w:rsidRPr="005D5EF6">
        <w:t xml:space="preserve"> </w:t>
      </w:r>
      <w:r w:rsidR="0036069D" w:rsidRPr="005D5EF6">
        <w:t>also</w:t>
      </w:r>
      <w:r w:rsidRPr="005D5EF6">
        <w:t xml:space="preserve"> reflects the objective to minimise capturing acquisition</w:t>
      </w:r>
      <w:r w:rsidR="00710E70">
        <w:t>s</w:t>
      </w:r>
      <w:r w:rsidRPr="005D5EF6">
        <w:t xml:space="preserve"> of small businesses,</w:t>
      </w:r>
      <w:r w:rsidRPr="005D5EF6">
        <w:rPr>
          <w:rStyle w:val="FootnoteReference"/>
          <w:vertAlign w:val="superscript"/>
        </w:rPr>
        <w:footnoteReference w:id="43"/>
      </w:r>
      <w:r>
        <w:t xml:space="preserve"> </w:t>
      </w:r>
      <w:r w:rsidR="00574C64">
        <w:t xml:space="preserve">while </w:t>
      </w:r>
      <w:r w:rsidR="00A32C66">
        <w:t xml:space="preserve">ensuring appropriate </w:t>
      </w:r>
      <w:r w:rsidR="003C53D0">
        <w:t>attention</w:t>
      </w:r>
      <w:r w:rsidR="00722903">
        <w:t xml:space="preserve"> </w:t>
      </w:r>
      <w:r w:rsidR="008B1D1D">
        <w:t xml:space="preserve">will be given to </w:t>
      </w:r>
      <w:r>
        <w:t>acquisitions of businesses in Australia with turnover of $10 million or higher</w:t>
      </w:r>
      <w:r w:rsidR="008B1D1D">
        <w:t>, which are estimated to account for less than 2%</w:t>
      </w:r>
      <w:r w:rsidR="00BF1B7F">
        <w:t xml:space="preserve"> of </w:t>
      </w:r>
      <w:r w:rsidR="003E5B3B" w:rsidRPr="00CB1FED">
        <w:t>all businesses in Australia</w:t>
      </w:r>
      <w:r w:rsidDel="003E5B3B">
        <w:t>.</w:t>
      </w:r>
      <w:r w:rsidRPr="00311EB6">
        <w:rPr>
          <w:rStyle w:val="FootnoteReference"/>
          <w:vertAlign w:val="superscript"/>
        </w:rPr>
        <w:footnoteReference w:id="44"/>
      </w:r>
      <w:r>
        <w:t xml:space="preserve"> The second limb would capture additional acquisitions of concern that would otherwise </w:t>
      </w:r>
      <w:r w:rsidR="007E7652">
        <w:t>fall outside the notification threshold</w:t>
      </w:r>
      <w:r w:rsidR="00A801FB">
        <w:t>s</w:t>
      </w:r>
      <w:r w:rsidR="00225494">
        <w:t>.</w:t>
      </w:r>
    </w:p>
    <w:p w14:paraId="5E0FBB17" w14:textId="4D66504B" w:rsidR="00F079B6" w:rsidRDefault="00F079B6" w:rsidP="00F079B6">
      <w:r>
        <w:t xml:space="preserve">Treasury </w:t>
      </w:r>
      <w:r w:rsidR="00115F6B">
        <w:t xml:space="preserve">calculates </w:t>
      </w:r>
      <w:r>
        <w:t xml:space="preserve">the proposed monetary thresholds alone would have captured </w:t>
      </w:r>
      <w:r w:rsidR="00FE4210">
        <w:t>around 75 per cent</w:t>
      </w:r>
      <w:r>
        <w:t xml:space="preserve"> of the acquisitions of concern </w:t>
      </w:r>
      <w:r w:rsidR="00C915C4">
        <w:t>based on</w:t>
      </w:r>
      <w:r>
        <w:t xml:space="preserve"> the </w:t>
      </w:r>
      <w:r w:rsidR="00C915C4">
        <w:t xml:space="preserve">ACCC’s </w:t>
      </w:r>
      <w:r>
        <w:t xml:space="preserve">historical </w:t>
      </w:r>
      <w:r w:rsidR="00227A47">
        <w:t xml:space="preserve">public </w:t>
      </w:r>
      <w:r>
        <w:t>merger review data. Treasury considers the proposed monetary thresholds reflect a risk</w:t>
      </w:r>
      <w:r>
        <w:noBreakHyphen/>
        <w:t xml:space="preserve">based, targeted approach that achieves the objectives to the extent possible. </w:t>
      </w:r>
      <w:r w:rsidR="0069496B">
        <w:t>As noted</w:t>
      </w:r>
      <w:r w:rsidR="00A66ABA">
        <w:t>,</w:t>
      </w:r>
      <w:r>
        <w:t xml:space="preserve"> the aim is not to stop these acquisitions, rather to enable the ACCC to appropriately </w:t>
      </w:r>
      <w:r w:rsidR="009078EE">
        <w:t xml:space="preserve">assess </w:t>
      </w:r>
      <w:r>
        <w:t xml:space="preserve">them. </w:t>
      </w:r>
      <w:r w:rsidR="00F74400">
        <w:t>Relevant t</w:t>
      </w:r>
      <w:r w:rsidR="00A175A9">
        <w:t>hresholds will be indexed over time to ensure the</w:t>
      </w:r>
      <w:r w:rsidR="00B53531">
        <w:t xml:space="preserve">y continue to </w:t>
      </w:r>
      <w:r w:rsidR="0034740A">
        <w:t>be risk based and targeted</w:t>
      </w:r>
      <w:r w:rsidR="004A0FF4">
        <w:t xml:space="preserve"> and do not capture </w:t>
      </w:r>
      <w:r w:rsidR="002D1FB4">
        <w:t xml:space="preserve">a greater </w:t>
      </w:r>
      <w:r w:rsidR="00172A4F">
        <w:t>proportion of low</w:t>
      </w:r>
      <w:r w:rsidR="00C109D6">
        <w:t>-</w:t>
      </w:r>
      <w:r w:rsidR="00172A4F">
        <w:t>risk mergers</w:t>
      </w:r>
      <w:r w:rsidR="002B4752">
        <w:t>.</w:t>
      </w:r>
    </w:p>
    <w:p w14:paraId="7B059938" w14:textId="2EDB34A5" w:rsidR="00156F0D" w:rsidRDefault="00156F0D" w:rsidP="00156F0D">
      <w:pPr>
        <w:pStyle w:val="Heading2"/>
      </w:pPr>
      <w:bookmarkStart w:id="29" w:name="_Toc176443946"/>
      <w:r>
        <w:t>Monetary thresholds for consultation</w:t>
      </w:r>
      <w:bookmarkEnd w:id="29"/>
    </w:p>
    <w:p w14:paraId="75E35DD3" w14:textId="2D54E69A" w:rsidR="00F678C4" w:rsidRDefault="009A1721" w:rsidP="009A1721">
      <w:r>
        <w:t>The proposed monetary thresholds</w:t>
      </w:r>
      <w:r w:rsidR="00823B89">
        <w:t xml:space="preserve"> drawn from Treasury</w:t>
      </w:r>
      <w:r w:rsidR="008A3563">
        <w:t>’s</w:t>
      </w:r>
      <w:r w:rsidR="00823B89">
        <w:t xml:space="preserve"> analysis</w:t>
      </w:r>
      <w:r>
        <w:t xml:space="preserve"> have been set to enable </w:t>
      </w:r>
      <w:r w:rsidR="15514610">
        <w:t>scrutiny</w:t>
      </w:r>
      <w:r>
        <w:t xml:space="preserve"> of anti-competitive and economically significant acquisitions, at a national, state, territory, regional or local level, including serial acquisitions</w:t>
      </w:r>
      <w:r w:rsidR="00184E41">
        <w:t>, as well as</w:t>
      </w:r>
      <w:r w:rsidDel="00184E41">
        <w:t xml:space="preserve"> </w:t>
      </w:r>
      <w:r>
        <w:t xml:space="preserve">acquisitions by businesses with substantial market power, including acquisitions of nascent </w:t>
      </w:r>
      <w:r w:rsidR="7C4D892F">
        <w:t>competitors</w:t>
      </w:r>
      <w:r w:rsidR="00823B89">
        <w:t>.</w:t>
      </w:r>
    </w:p>
    <w:p w14:paraId="683137ED" w14:textId="3F59D9C2" w:rsidR="00F678C4" w:rsidRDefault="00F678C4" w:rsidP="00F678C4">
      <w:pPr>
        <w:spacing w:before="0" w:after="160" w:line="259" w:lineRule="auto"/>
      </w:pPr>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9053"/>
      </w:tblGrid>
      <w:tr w:rsidR="00156F0D" w:rsidRPr="00F30133" w14:paraId="6892C6AE" w14:textId="77777777" w:rsidTr="00F24AB3">
        <w:trPr>
          <w:cnfStyle w:val="100000000000" w:firstRow="1" w:lastRow="0" w:firstColumn="0" w:lastColumn="0" w:oddVBand="0" w:evenVBand="0" w:oddHBand="0" w:evenHBand="0" w:firstRowFirstColumn="0" w:firstRowLastColumn="0" w:lastRowFirstColumn="0" w:lastRowLastColumn="0"/>
          <w:cantSplit/>
        </w:trPr>
        <w:tc>
          <w:tcPr>
            <w:tcW w:w="9053" w:type="dxa"/>
          </w:tcPr>
          <w:p w14:paraId="005182AE" w14:textId="75CC935C" w:rsidR="00156F0D" w:rsidRPr="00F30133" w:rsidRDefault="00156F0D" w:rsidP="009E021F">
            <w:pPr>
              <w:keepNext/>
              <w:rPr>
                <w:b w:val="0"/>
                <w:sz w:val="22"/>
                <w:szCs w:val="22"/>
              </w:rPr>
            </w:pPr>
            <w:r>
              <w:rPr>
                <w:sz w:val="22"/>
                <w:szCs w:val="22"/>
              </w:rPr>
              <w:lastRenderedPageBreak/>
              <w:t>Box</w:t>
            </w:r>
            <w:r w:rsidRPr="00F30133">
              <w:rPr>
                <w:sz w:val="22"/>
                <w:szCs w:val="22"/>
              </w:rPr>
              <w:t xml:space="preserve"> 1. P</w:t>
            </w:r>
            <w:r>
              <w:rPr>
                <w:sz w:val="22"/>
                <w:szCs w:val="22"/>
              </w:rPr>
              <w:t>roposed</w:t>
            </w:r>
            <w:r w:rsidRPr="00F30133">
              <w:rPr>
                <w:sz w:val="22"/>
                <w:szCs w:val="22"/>
              </w:rPr>
              <w:t xml:space="preserve"> monetary thresholds</w:t>
            </w:r>
          </w:p>
          <w:p w14:paraId="520F0A5A" w14:textId="478FE3E9" w:rsidR="00156F0D" w:rsidRPr="00E738D1" w:rsidRDefault="00156F0D" w:rsidP="00102F6B">
            <w:pPr>
              <w:keepNext/>
              <w:numPr>
                <w:ilvl w:val="0"/>
                <w:numId w:val="32"/>
              </w:numPr>
              <w:rPr>
                <w:b w:val="0"/>
                <w:sz w:val="22"/>
                <w:szCs w:val="22"/>
              </w:rPr>
            </w:pPr>
            <w:r>
              <w:rPr>
                <w:b w:val="0"/>
                <w:bCs/>
                <w:sz w:val="22"/>
                <w:szCs w:val="22"/>
              </w:rPr>
              <w:t xml:space="preserve">Notification will be required if either of the following </w:t>
            </w:r>
            <w:r w:rsidR="0005508D">
              <w:rPr>
                <w:b w:val="0"/>
                <w:bCs/>
                <w:sz w:val="22"/>
                <w:szCs w:val="22"/>
              </w:rPr>
              <w:t xml:space="preserve">limbs </w:t>
            </w:r>
            <w:r>
              <w:rPr>
                <w:b w:val="0"/>
                <w:bCs/>
                <w:sz w:val="22"/>
                <w:szCs w:val="22"/>
              </w:rPr>
              <w:t>are met</w:t>
            </w:r>
            <w:r w:rsidR="00D3251D">
              <w:rPr>
                <w:b w:val="0"/>
                <w:bCs/>
                <w:sz w:val="22"/>
                <w:szCs w:val="22"/>
              </w:rPr>
              <w:t>, AND the</w:t>
            </w:r>
            <w:r w:rsidR="00ED41B4">
              <w:rPr>
                <w:b w:val="0"/>
                <w:bCs/>
                <w:sz w:val="22"/>
                <w:szCs w:val="22"/>
              </w:rPr>
              <w:t xml:space="preserve"> jurisdictional nexus is met</w:t>
            </w:r>
            <w:r>
              <w:rPr>
                <w:b w:val="0"/>
                <w:bCs/>
                <w:sz w:val="22"/>
                <w:szCs w:val="22"/>
              </w:rPr>
              <w:t>:</w:t>
            </w:r>
            <w:r w:rsidR="00F57836" w:rsidRPr="00F57836">
              <w:rPr>
                <w:b w:val="0"/>
                <w:bCs/>
                <w:sz w:val="22"/>
                <w:szCs w:val="22"/>
              </w:rPr>
              <w:t xml:space="preserve"> </w:t>
            </w:r>
          </w:p>
          <w:p w14:paraId="61C48F23" w14:textId="5266EF75" w:rsidR="006B6131" w:rsidRPr="003A510F" w:rsidRDefault="006B6131" w:rsidP="00374808">
            <w:r w:rsidRPr="006B6131">
              <w:rPr>
                <w:noProof/>
              </w:rPr>
              <w:drawing>
                <wp:inline distT="0" distB="0" distL="0" distR="0" wp14:anchorId="0206DA51" wp14:editId="5F3A5AD3">
                  <wp:extent cx="5599216" cy="123768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2750" cy="1251726"/>
                          </a:xfrm>
                          <a:prstGeom prst="rect">
                            <a:avLst/>
                          </a:prstGeom>
                          <a:noFill/>
                          <a:ln>
                            <a:noFill/>
                          </a:ln>
                        </pic:spPr>
                      </pic:pic>
                    </a:graphicData>
                  </a:graphic>
                </wp:inline>
              </w:drawing>
            </w:r>
          </w:p>
          <w:p w14:paraId="46AEE609" w14:textId="3153B62B" w:rsidR="00156F0D" w:rsidRDefault="00156F0D">
            <w:r w:rsidRPr="00F348BB">
              <w:t>Jurisdictional nexus:</w:t>
            </w:r>
            <w:r w:rsidR="00D93150">
              <w:rPr>
                <w:b w:val="0"/>
              </w:rPr>
              <w:t xml:space="preserve"> </w:t>
            </w:r>
            <w:r w:rsidRPr="008915E8">
              <w:rPr>
                <w:b w:val="0"/>
              </w:rPr>
              <w:t xml:space="preserve">The target </w:t>
            </w:r>
            <w:r w:rsidR="00CB7374">
              <w:rPr>
                <w:b w:val="0"/>
              </w:rPr>
              <w:t>business</w:t>
            </w:r>
            <w:r w:rsidR="00CB7374" w:rsidRPr="008915E8">
              <w:rPr>
                <w:b w:val="0"/>
              </w:rPr>
              <w:t xml:space="preserve"> </w:t>
            </w:r>
            <w:r w:rsidRPr="008915E8">
              <w:rPr>
                <w:b w:val="0"/>
              </w:rPr>
              <w:t xml:space="preserve">or asset has a material connection to Australia, </w:t>
            </w:r>
            <w:r w:rsidR="0036490D" w:rsidRPr="008915E8">
              <w:rPr>
                <w:b w:val="0"/>
              </w:rPr>
              <w:t>for example</w:t>
            </w:r>
            <w:r w:rsidRPr="008915E8">
              <w:rPr>
                <w:b w:val="0"/>
              </w:rPr>
              <w:t>, being registered or located in Australia, supplying goods or services to Australian customers, or generating revenue in Australia.</w:t>
            </w:r>
          </w:p>
          <w:p w14:paraId="28127EAF" w14:textId="74A4A426" w:rsidR="00156F0D" w:rsidRPr="008915E8" w:rsidRDefault="00B639FB" w:rsidP="00BE5537">
            <w:pPr>
              <w:rPr>
                <w:b w:val="0"/>
              </w:rPr>
            </w:pPr>
            <w:r w:rsidRPr="00AB2DCF">
              <w:t>Cumulative turnover thresholds:</w:t>
            </w:r>
            <w:r>
              <w:rPr>
                <w:b w:val="0"/>
              </w:rPr>
              <w:t xml:space="preserve"> </w:t>
            </w:r>
            <w:r w:rsidR="00A16B33" w:rsidRPr="00BE5537">
              <w:rPr>
                <w:b w:val="0"/>
              </w:rPr>
              <w:t>A</w:t>
            </w:r>
            <w:r w:rsidRPr="00BE5537">
              <w:rPr>
                <w:b w:val="0"/>
              </w:rPr>
              <w:t>ll acquisitions within the previous three years within the same product or service market/s (irrespective of geographic location) by the acquirer and acquirer corporate group are proposed to be aggregated for the purposes of assessing whether an acquisition meets the monetary turnover threshold only, regardless of whether those acquisitions were themselves individually notifiable.</w:t>
            </w:r>
          </w:p>
        </w:tc>
      </w:tr>
    </w:tbl>
    <w:p w14:paraId="0B4B85E5" w14:textId="77777777" w:rsidR="00F678C4" w:rsidRDefault="00F678C4" w:rsidP="00156F0D"/>
    <w:p w14:paraId="76DFD0F1" w14:textId="720A2C1F" w:rsidR="00156F0D" w:rsidRDefault="006B6131" w:rsidP="00156F0D">
      <w:r w:rsidRPr="006B6131">
        <w:rPr>
          <w:noProof/>
        </w:rPr>
        <w:drawing>
          <wp:inline distT="0" distB="0" distL="0" distR="0" wp14:anchorId="7C8F3E58" wp14:editId="6DFFE295">
            <wp:extent cx="5760720" cy="33470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347085"/>
                    </a:xfrm>
                    <a:prstGeom prst="rect">
                      <a:avLst/>
                    </a:prstGeom>
                    <a:noFill/>
                    <a:ln>
                      <a:noFill/>
                    </a:ln>
                  </pic:spPr>
                </pic:pic>
              </a:graphicData>
            </a:graphic>
          </wp:inline>
        </w:drawing>
      </w:r>
    </w:p>
    <w:tbl>
      <w:tblPr>
        <w:tblStyle w:val="TableGrid"/>
        <w:tblW w:w="0" w:type="auto"/>
        <w:tblLook w:val="0400" w:firstRow="0" w:lastRow="0" w:firstColumn="0" w:lastColumn="0" w:noHBand="0" w:noVBand="1"/>
      </w:tblPr>
      <w:tblGrid>
        <w:gridCol w:w="9072"/>
      </w:tblGrid>
      <w:tr w:rsidR="00156F0D" w:rsidRPr="000E0E76" w14:paraId="66A8238A" w14:textId="77777777">
        <w:tc>
          <w:tcPr>
            <w:tcW w:w="9072" w:type="dxa"/>
            <w:shd w:val="clear" w:color="auto" w:fill="E8F0FC" w:themeFill="accent5" w:themeFillTint="33"/>
          </w:tcPr>
          <w:p w14:paraId="61C9B751" w14:textId="365961C1" w:rsidR="00156F0D" w:rsidRPr="000E0E76" w:rsidRDefault="00156F0D" w:rsidP="00FE089D">
            <w:pPr>
              <w:keepNext/>
              <w:rPr>
                <w:b/>
                <w:bCs/>
                <w:color w:val="2C384A" w:themeColor="accent1"/>
                <w:sz w:val="22"/>
                <w:szCs w:val="24"/>
              </w:rPr>
            </w:pPr>
            <w:r w:rsidRPr="000E0E76">
              <w:rPr>
                <w:b/>
                <w:bCs/>
                <w:sz w:val="22"/>
                <w:szCs w:val="24"/>
              </w:rPr>
              <w:lastRenderedPageBreak/>
              <w:t>Questions</w:t>
            </w:r>
          </w:p>
          <w:p w14:paraId="128A98A3" w14:textId="66DA8373" w:rsidR="00156F0D" w:rsidRPr="00F83EB6" w:rsidRDefault="00156F0D">
            <w:pPr>
              <w:pStyle w:val="OutlineNumbered1"/>
              <w:rPr>
                <w:bCs/>
                <w:sz w:val="22"/>
                <w:szCs w:val="24"/>
              </w:rPr>
            </w:pPr>
            <w:r w:rsidRPr="00F83EB6">
              <w:rPr>
                <w:bCs/>
                <w:sz w:val="22"/>
                <w:szCs w:val="24"/>
              </w:rPr>
              <w:t>What indicators should be used for the monetary thresholds? Are turnover and transaction value metrics appropriate for the Australian economy?</w:t>
            </w:r>
          </w:p>
          <w:p w14:paraId="6A0E6281" w14:textId="5450794F" w:rsidR="00156F0D" w:rsidRDefault="00156F0D">
            <w:pPr>
              <w:pStyle w:val="OutlineNumbered1"/>
              <w:rPr>
                <w:bCs/>
                <w:sz w:val="22"/>
                <w:szCs w:val="24"/>
              </w:rPr>
            </w:pPr>
            <w:r w:rsidRPr="007740AB">
              <w:rPr>
                <w:bCs/>
                <w:sz w:val="22"/>
                <w:szCs w:val="24"/>
              </w:rPr>
              <w:t xml:space="preserve">What </w:t>
            </w:r>
            <w:r w:rsidR="00C562B6">
              <w:rPr>
                <w:bCs/>
                <w:sz w:val="22"/>
                <w:szCs w:val="24"/>
              </w:rPr>
              <w:t>structure and</w:t>
            </w:r>
            <w:r w:rsidRPr="007740AB">
              <w:rPr>
                <w:bCs/>
                <w:sz w:val="22"/>
                <w:szCs w:val="24"/>
              </w:rPr>
              <w:t xml:space="preserve"> numerical values should be set for the monetary thresholds to ensure the merger system strikes an appropriate risk-based approach between </w:t>
            </w:r>
            <w:r w:rsidR="00C44D08">
              <w:rPr>
                <w:bCs/>
                <w:sz w:val="22"/>
                <w:szCs w:val="24"/>
              </w:rPr>
              <w:t>compliance costs</w:t>
            </w:r>
            <w:r w:rsidRPr="007740AB">
              <w:rPr>
                <w:bCs/>
                <w:sz w:val="22"/>
                <w:szCs w:val="24"/>
              </w:rPr>
              <w:t xml:space="preserve"> and competition concerns?</w:t>
            </w:r>
            <w:r>
              <w:rPr>
                <w:bCs/>
                <w:sz w:val="22"/>
                <w:szCs w:val="24"/>
              </w:rPr>
              <w:t xml:space="preserve"> </w:t>
            </w:r>
          </w:p>
          <w:p w14:paraId="315D7F02" w14:textId="77777777" w:rsidR="00364D47" w:rsidRDefault="00156F0D">
            <w:pPr>
              <w:pStyle w:val="OutlineNumbered1"/>
              <w:rPr>
                <w:bCs/>
                <w:sz w:val="22"/>
                <w:szCs w:val="24"/>
              </w:rPr>
            </w:pPr>
            <w:r>
              <w:rPr>
                <w:bCs/>
                <w:sz w:val="22"/>
                <w:szCs w:val="24"/>
              </w:rPr>
              <w:t>Are the proposed monetary thresholds set at a level that enables acquisitions by large businesses and/or businesses with substantial market power to be scrutinised?</w:t>
            </w:r>
          </w:p>
          <w:p w14:paraId="44E5DF08" w14:textId="636BB717" w:rsidR="00156F0D" w:rsidRPr="007740AB" w:rsidRDefault="000F6A65">
            <w:pPr>
              <w:pStyle w:val="OutlineNumbered1"/>
              <w:rPr>
                <w:bCs/>
                <w:sz w:val="22"/>
                <w:szCs w:val="24"/>
              </w:rPr>
            </w:pPr>
            <w:r>
              <w:rPr>
                <w:bCs/>
                <w:sz w:val="22"/>
                <w:szCs w:val="24"/>
              </w:rPr>
              <w:t>Are</w:t>
            </w:r>
            <w:r w:rsidR="00AB54AF">
              <w:rPr>
                <w:bCs/>
                <w:sz w:val="22"/>
                <w:szCs w:val="24"/>
              </w:rPr>
              <w:t xml:space="preserve"> the proposed </w:t>
            </w:r>
            <w:r w:rsidR="00904C9E">
              <w:rPr>
                <w:bCs/>
                <w:sz w:val="22"/>
                <w:szCs w:val="24"/>
              </w:rPr>
              <w:t xml:space="preserve">cumulative turnover thresholds </w:t>
            </w:r>
            <w:r w:rsidR="00267FAE">
              <w:rPr>
                <w:bCs/>
                <w:sz w:val="22"/>
                <w:szCs w:val="24"/>
              </w:rPr>
              <w:t>appropriate</w:t>
            </w:r>
            <w:r w:rsidR="00904C9E">
              <w:rPr>
                <w:bCs/>
                <w:sz w:val="22"/>
                <w:szCs w:val="24"/>
              </w:rPr>
              <w:t xml:space="preserve"> to address competition risks associated with serial acquisitions</w:t>
            </w:r>
            <w:r w:rsidR="006D143C">
              <w:rPr>
                <w:bCs/>
                <w:sz w:val="22"/>
                <w:szCs w:val="24"/>
              </w:rPr>
              <w:t>?</w:t>
            </w:r>
            <w:r w:rsidR="00AB54AF">
              <w:rPr>
                <w:bCs/>
                <w:sz w:val="22"/>
                <w:szCs w:val="24"/>
              </w:rPr>
              <w:t xml:space="preserve"> </w:t>
            </w:r>
          </w:p>
          <w:p w14:paraId="33AF499F" w14:textId="601EDDF0" w:rsidR="00156F0D" w:rsidRPr="000E0E76" w:rsidRDefault="00156F0D">
            <w:pPr>
              <w:pStyle w:val="OutlineNumbered1"/>
              <w:rPr>
                <w:bCs/>
                <w:sz w:val="22"/>
                <w:szCs w:val="24"/>
              </w:rPr>
            </w:pPr>
            <w:r w:rsidRPr="000E0E76">
              <w:rPr>
                <w:bCs/>
                <w:sz w:val="22"/>
                <w:szCs w:val="24"/>
              </w:rPr>
              <w:t xml:space="preserve">What other sources of data are available to </w:t>
            </w:r>
            <w:r w:rsidR="00947914">
              <w:rPr>
                <w:bCs/>
                <w:sz w:val="22"/>
                <w:szCs w:val="24"/>
              </w:rPr>
              <w:t xml:space="preserve">inform the </w:t>
            </w:r>
            <w:r w:rsidR="00F47743">
              <w:rPr>
                <w:bCs/>
                <w:sz w:val="22"/>
                <w:szCs w:val="24"/>
              </w:rPr>
              <w:t xml:space="preserve">value of the </w:t>
            </w:r>
            <w:r w:rsidRPr="000E0E76">
              <w:rPr>
                <w:bCs/>
                <w:sz w:val="22"/>
                <w:szCs w:val="24"/>
              </w:rPr>
              <w:t xml:space="preserve">monetary </w:t>
            </w:r>
            <w:r w:rsidR="00A6276B">
              <w:rPr>
                <w:bCs/>
                <w:sz w:val="22"/>
                <w:szCs w:val="24"/>
              </w:rPr>
              <w:t xml:space="preserve">and market concentration </w:t>
            </w:r>
            <w:r w:rsidR="00947914">
              <w:rPr>
                <w:bCs/>
                <w:sz w:val="22"/>
                <w:szCs w:val="24"/>
              </w:rPr>
              <w:t>thresholds</w:t>
            </w:r>
            <w:r w:rsidR="00A6276B">
              <w:rPr>
                <w:bCs/>
                <w:sz w:val="22"/>
                <w:szCs w:val="24"/>
              </w:rPr>
              <w:t xml:space="preserve">, including </w:t>
            </w:r>
            <w:r w:rsidR="0007444E">
              <w:rPr>
                <w:bCs/>
                <w:sz w:val="22"/>
                <w:szCs w:val="24"/>
              </w:rPr>
              <w:t xml:space="preserve">the expected number of </w:t>
            </w:r>
            <w:r w:rsidR="00454D08">
              <w:rPr>
                <w:bCs/>
                <w:sz w:val="22"/>
                <w:szCs w:val="24"/>
              </w:rPr>
              <w:t xml:space="preserve">mandatory </w:t>
            </w:r>
            <w:r w:rsidR="0007444E">
              <w:rPr>
                <w:bCs/>
                <w:sz w:val="22"/>
                <w:szCs w:val="24"/>
              </w:rPr>
              <w:t>notifications</w:t>
            </w:r>
            <w:r w:rsidRPr="000E0E76">
              <w:rPr>
                <w:bCs/>
                <w:sz w:val="22"/>
                <w:szCs w:val="24"/>
              </w:rPr>
              <w:t>?</w:t>
            </w:r>
          </w:p>
        </w:tc>
      </w:tr>
    </w:tbl>
    <w:p w14:paraId="6B39D64E" w14:textId="77777777" w:rsidR="00156F0D" w:rsidRDefault="00156F0D" w:rsidP="00DE4CA6">
      <w:pPr>
        <w:sectPr w:rsidR="00156F0D" w:rsidSect="00156F0D">
          <w:pgSz w:w="11906" w:h="16838" w:code="9"/>
          <w:pgMar w:top="1843" w:right="1417" w:bottom="1417" w:left="1417" w:header="709" w:footer="709" w:gutter="0"/>
          <w:cols w:space="708"/>
          <w:docGrid w:linePitch="360"/>
        </w:sectPr>
      </w:pPr>
    </w:p>
    <w:p w14:paraId="7357F6CF" w14:textId="1D3277F8" w:rsidR="00156F0D" w:rsidRDefault="00156F0D" w:rsidP="00156F0D">
      <w:pPr>
        <w:pStyle w:val="Heading1"/>
      </w:pPr>
      <w:bookmarkStart w:id="30" w:name="_Toc176443947"/>
      <w:r>
        <w:lastRenderedPageBreak/>
        <w:t>Market concentration</w:t>
      </w:r>
      <w:bookmarkEnd w:id="30"/>
    </w:p>
    <w:p w14:paraId="7FCC15EB" w14:textId="5ADDA6B7" w:rsidR="00156F0D" w:rsidRDefault="00156F0D" w:rsidP="00156F0D">
      <w:r w:rsidRPr="00A0372E">
        <w:t xml:space="preserve">Market </w:t>
      </w:r>
      <w:r>
        <w:t>concentration</w:t>
      </w:r>
      <w:r w:rsidRPr="00A0372E">
        <w:t xml:space="preserve"> </w:t>
      </w:r>
      <w:r>
        <w:t xml:space="preserve">metrics are a good indicator of the market structure and potential competitive impact of the merger. In the new merger system, market concentration </w:t>
      </w:r>
      <w:r w:rsidRPr="00A0372E">
        <w:t xml:space="preserve">thresholds </w:t>
      </w:r>
      <w:r>
        <w:t xml:space="preserve">will be used to capture acquisitions </w:t>
      </w:r>
      <w:r w:rsidR="00CB07FC">
        <w:t>not captured by the monetary thresholds (</w:t>
      </w:r>
      <w:r w:rsidR="00685115">
        <w:t xml:space="preserve">discussed </w:t>
      </w:r>
      <w:r w:rsidR="00CB07FC">
        <w:t xml:space="preserve">above) </w:t>
      </w:r>
      <w:r>
        <w:t>by acquirers with substantial market power and other acquisitions that give rise to a notable degree of consolidation in the relevant market or industry.</w:t>
      </w:r>
    </w:p>
    <w:p w14:paraId="5D236CF9" w14:textId="2C486960" w:rsidR="00156F0D" w:rsidRDefault="00156F0D" w:rsidP="00156F0D">
      <w:r>
        <w:t>Market concentration thresholds can be</w:t>
      </w:r>
      <w:r w:rsidRPr="00A0372E">
        <w:t xml:space="preserve"> better predictors of competition</w:t>
      </w:r>
      <w:r>
        <w:t xml:space="preserve"> risks</w:t>
      </w:r>
      <w:r w:rsidRPr="00A0372E">
        <w:t xml:space="preserve"> </w:t>
      </w:r>
      <w:r>
        <w:t xml:space="preserve">than monetary thresholds </w:t>
      </w:r>
      <w:r w:rsidRPr="00A0372E">
        <w:t xml:space="preserve">as they can be more reflective of </w:t>
      </w:r>
      <w:r>
        <w:t>the combined market power of a merged business post</w:t>
      </w:r>
      <w:r>
        <w:noBreakHyphen/>
        <w:t>acquisition. They can also capture different combinations of mergers that may have different implications for competition, such as mergers between two businesses with modest market shares or a dominant business acquiring a business with little market share.</w:t>
      </w:r>
    </w:p>
    <w:p w14:paraId="333BAF74" w14:textId="08A27619" w:rsidR="00156F0D" w:rsidRDefault="00156F0D" w:rsidP="00156F0D">
      <w:r>
        <w:t>This is especially true</w:t>
      </w:r>
      <w:r w:rsidRPr="00A0372E">
        <w:t xml:space="preserve"> </w:t>
      </w:r>
      <w:r>
        <w:t>for acquisitions</w:t>
      </w:r>
      <w:r w:rsidRPr="00A0372E">
        <w:t xml:space="preserve"> in small, regional and local markets </w:t>
      </w:r>
      <w:r>
        <w:t>– the localised and concentrated nature of these markets mean smaller mergers can still cause significant harm to consumer</w:t>
      </w:r>
      <w:r w:rsidR="004223D0">
        <w:t>s</w:t>
      </w:r>
      <w:r>
        <w:t xml:space="preserve"> but might otherwise be too small to be captured by economy-wide monetary thresholds</w:t>
      </w:r>
      <w:r w:rsidRPr="00A0372E">
        <w:t>.</w:t>
      </w:r>
    </w:p>
    <w:p w14:paraId="79F4A10E" w14:textId="6977C408" w:rsidR="00FE51B2" w:rsidRDefault="00367C06" w:rsidP="00367C06">
      <w:r>
        <w:t xml:space="preserve">Analysis of ABS BLADE data on share of sales </w:t>
      </w:r>
      <w:r w:rsidRPr="001D2D88">
        <w:t xml:space="preserve">suggests that market concentration has </w:t>
      </w:r>
      <w:r>
        <w:t>increased</w:t>
      </w:r>
      <w:r w:rsidRPr="001D2D88">
        <w:t xml:space="preserve"> in Australia</w:t>
      </w:r>
      <w:r>
        <w:t xml:space="preserve"> with firm mark</w:t>
      </w:r>
      <w:r>
        <w:noBreakHyphen/>
        <w:t>ups increasing across the economy, which potentially correlates with an increase in market power and decline in competition</w:t>
      </w:r>
      <w:r w:rsidRPr="001D2D88">
        <w:t>.</w:t>
      </w:r>
      <w:r w:rsidRPr="001D2D88">
        <w:rPr>
          <w:rStyle w:val="FootnoteReference"/>
          <w:vertAlign w:val="superscript"/>
        </w:rPr>
        <w:footnoteReference w:id="45"/>
      </w:r>
      <w:r>
        <w:t xml:space="preserve"> Other analysis of private market research data compiled by IBISWorld indicates that ‘</w:t>
      </w:r>
      <w:r w:rsidRPr="007619B7">
        <w:t>almost half of the</w:t>
      </w:r>
      <w:r>
        <w:t xml:space="preserve"> </w:t>
      </w:r>
      <w:r w:rsidRPr="007619B7">
        <w:t>481 IBISWorld industries are concentrated</w:t>
      </w:r>
      <w:r>
        <w:t xml:space="preserve"> </w:t>
      </w:r>
      <w:r w:rsidRPr="007619B7">
        <w:t>markets</w:t>
      </w:r>
      <w:r>
        <w:t>’.</w:t>
      </w:r>
      <w:r w:rsidRPr="00E63D2A">
        <w:rPr>
          <w:rStyle w:val="FootnoteReference"/>
          <w:vertAlign w:val="superscript"/>
        </w:rPr>
        <w:footnoteReference w:id="46"/>
      </w:r>
    </w:p>
    <w:p w14:paraId="3BF9F144" w14:textId="2909DB41" w:rsidR="00367C06" w:rsidRDefault="00367C06" w:rsidP="00367C06">
      <w:r>
        <w:t xml:space="preserve">Market concentration thresholds will ensure that acquisitions not captured by the monetary thresholds that could appreciably impact competition will be captured. </w:t>
      </w:r>
      <w:r w:rsidR="009D3590">
        <w:t xml:space="preserve">Accordingly, compliance costs will be </w:t>
      </w:r>
      <w:r w:rsidR="006A0464">
        <w:t xml:space="preserve">minimised as </w:t>
      </w:r>
      <w:r w:rsidR="00650C0A">
        <w:t>market concentration thresholds only apply if</w:t>
      </w:r>
      <w:r w:rsidR="006A0464">
        <w:t xml:space="preserve"> the monetary thresholds </w:t>
      </w:r>
      <w:r w:rsidR="007D33CF">
        <w:t>(</w:t>
      </w:r>
      <w:r w:rsidR="006A0464">
        <w:t>and additional targeted notification requirements</w:t>
      </w:r>
      <w:r w:rsidR="007D33CF">
        <w:t>)</w:t>
      </w:r>
      <w:r w:rsidR="006A0464">
        <w:t xml:space="preserve"> are not met. </w:t>
      </w:r>
    </w:p>
    <w:p w14:paraId="1AECC5AA" w14:textId="58BB239E" w:rsidR="00156F0D" w:rsidRDefault="00156F0D" w:rsidP="00156F0D">
      <w:r>
        <w:t>The rise in market concentration in Australia can have broader economic effects beyond creating greater risks to competition and consumers. It can undermine the incentives to innovate, and there is evidence higher market concentration is negatively correlated to productivity (except in export</w:t>
      </w:r>
      <w:r>
        <w:noBreakHyphen/>
        <w:t>intensive industries) and therefore real wages.</w:t>
      </w:r>
      <w:r w:rsidRPr="00654206">
        <w:rPr>
          <w:rStyle w:val="FootnoteReference"/>
          <w:vertAlign w:val="superscript"/>
        </w:rPr>
        <w:footnoteReference w:id="47"/>
      </w:r>
    </w:p>
    <w:p w14:paraId="3C99C25D" w14:textId="5966090B" w:rsidR="00156F0D" w:rsidRDefault="00156F0D" w:rsidP="00156F0D">
      <w:pPr>
        <w:pStyle w:val="Heading2"/>
      </w:pPr>
      <w:bookmarkStart w:id="31" w:name="_Toc176443948"/>
      <w:r>
        <w:t>Possible measures of market concentration</w:t>
      </w:r>
      <w:bookmarkEnd w:id="31"/>
    </w:p>
    <w:p w14:paraId="39FBF9A0" w14:textId="5BE53BE0" w:rsidR="00156F0D" w:rsidRPr="00546798" w:rsidRDefault="00156F0D" w:rsidP="00156F0D">
      <w:r>
        <w:t>There are different types of market concentration thresholds. Treasury is considering two options – market share and share of supply.</w:t>
      </w:r>
    </w:p>
    <w:p w14:paraId="716616AE" w14:textId="2DB0143F" w:rsidR="00156F0D" w:rsidRDefault="00156F0D" w:rsidP="00156F0D">
      <w:pPr>
        <w:pStyle w:val="Heading3"/>
      </w:pPr>
      <w:bookmarkStart w:id="32" w:name="_Toc176443949"/>
      <w:r>
        <w:lastRenderedPageBreak/>
        <w:t>Market share</w:t>
      </w:r>
      <w:bookmarkEnd w:id="32"/>
    </w:p>
    <w:p w14:paraId="6B72ED47" w14:textId="77777777" w:rsidR="00605012" w:rsidRDefault="00156F0D" w:rsidP="00156F0D">
      <w:r>
        <w:t xml:space="preserve">Market concentration thresholds can be based on market share, which will be determined by the combined merger parties’ proportion of the total market size by sales value and/or volume. </w:t>
      </w:r>
      <w:r w:rsidRPr="006B3CC6">
        <w:t xml:space="preserve">The market share threshold should capture both </w:t>
      </w:r>
      <w:r>
        <w:t>anti</w:t>
      </w:r>
      <w:r>
        <w:noBreakHyphen/>
        <w:t xml:space="preserve">competitive </w:t>
      </w:r>
      <w:r w:rsidRPr="006B3CC6">
        <w:t xml:space="preserve">horizontal mergers impacting affected markets and </w:t>
      </w:r>
      <w:r>
        <w:t>anti</w:t>
      </w:r>
      <w:r>
        <w:noBreakHyphen/>
        <w:t>competitive</w:t>
      </w:r>
      <w:r w:rsidRPr="006B3CC6">
        <w:t xml:space="preserve"> non-horizontal mergers impacting adjacent markets.</w:t>
      </w:r>
      <w:r>
        <w:t xml:space="preserve"> </w:t>
      </w:r>
    </w:p>
    <w:p w14:paraId="6677396A" w14:textId="71F05A04" w:rsidR="00605012" w:rsidRDefault="00A24EDC" w:rsidP="00156F0D">
      <w:r>
        <w:t xml:space="preserve">Acquisitions </w:t>
      </w:r>
      <w:r w:rsidR="00156F0D">
        <w:t>where the combined merger parties would have a large market share in the affected or adjacent market</w:t>
      </w:r>
      <w:r w:rsidR="00B14781">
        <w:t xml:space="preserve"> (</w:t>
      </w:r>
      <w:r w:rsidR="00907890">
        <w:t xml:space="preserve">adjacent </w:t>
      </w:r>
      <w:r w:rsidR="00677746">
        <w:t>by</w:t>
      </w:r>
      <w:r w:rsidR="00907890">
        <w:t xml:space="preserve"> </w:t>
      </w:r>
      <w:r w:rsidR="005E4B44">
        <w:t>product, geographic or functional</w:t>
      </w:r>
      <w:r w:rsidR="00B14781">
        <w:t xml:space="preserve"> </w:t>
      </w:r>
      <w:r w:rsidR="00EB0991">
        <w:t>level</w:t>
      </w:r>
      <w:r w:rsidR="00B14781">
        <w:t>)</w:t>
      </w:r>
      <w:r w:rsidR="00156F0D">
        <w:t>, or in a substantial part of the market, would be notifiable given the potential competitive impact of the merger.</w:t>
      </w:r>
      <w:r w:rsidR="00156F0D" w:rsidRPr="006B3CC6">
        <w:t xml:space="preserve"> </w:t>
      </w:r>
    </w:p>
    <w:p w14:paraId="45C9DC9A" w14:textId="3F73381A" w:rsidR="002A4728" w:rsidRDefault="002A4728" w:rsidP="002A4728">
      <w:r>
        <w:t>Depending on their design, market share thresholds can capture increases in market share resulting from horizontal mergers (where there is overlap in the products or services provided by the merger parties), vertical acquisitions in the same supply chain and/or acquisitions by businesses with an existing market share that meets the notification thresholds by framing the notification test by reference to the ‘acquisition, creation or reinforcement’ of a market share or similar wording.</w:t>
      </w:r>
      <w:r w:rsidRPr="00DB16AD">
        <w:rPr>
          <w:rStyle w:val="FootnoteReference"/>
          <w:vertAlign w:val="superscript"/>
        </w:rPr>
        <w:footnoteReference w:id="48"/>
      </w:r>
      <w:r w:rsidRPr="00DB16AD">
        <w:rPr>
          <w:vertAlign w:val="superscript"/>
        </w:rPr>
        <w:t xml:space="preserve"> </w:t>
      </w:r>
    </w:p>
    <w:p w14:paraId="2A563273" w14:textId="6157174D" w:rsidR="00156F0D" w:rsidRDefault="00156F0D" w:rsidP="00156F0D">
      <w:r w:rsidRPr="009E044B">
        <w:t>Market share thresholds are</w:t>
      </w:r>
      <w:r>
        <w:t xml:space="preserve"> </w:t>
      </w:r>
      <w:r w:rsidRPr="009E044B">
        <w:t xml:space="preserve">familiar to businesses in Australia given they </w:t>
      </w:r>
      <w:r>
        <w:t>have been</w:t>
      </w:r>
      <w:r w:rsidRPr="009E044B">
        <w:t xml:space="preserve"> a feature of the ACCC’s merger review approach</w:t>
      </w:r>
      <w:r>
        <w:t xml:space="preserve"> for many years</w:t>
      </w:r>
      <w:r w:rsidRPr="009E044B">
        <w:t xml:space="preserve">. </w:t>
      </w:r>
      <w:r>
        <w:t>The ACCC</w:t>
      </w:r>
      <w:r w:rsidR="001731F7">
        <w:t>’s current</w:t>
      </w:r>
      <w:r>
        <w:t xml:space="preserve"> merger guidelines use market shares as the ‘notification threshold’.</w:t>
      </w:r>
      <w:r w:rsidRPr="00955744">
        <w:rPr>
          <w:rStyle w:val="FootnoteReference"/>
          <w:vertAlign w:val="superscript"/>
        </w:rPr>
        <w:t xml:space="preserve"> </w:t>
      </w:r>
      <w:r w:rsidR="00955744" w:rsidRPr="00C70430">
        <w:rPr>
          <w:rStyle w:val="FootnoteReference"/>
          <w:vertAlign w:val="superscript"/>
        </w:rPr>
        <w:footnoteReference w:id="49"/>
      </w:r>
      <w:r>
        <w:t xml:space="preserve"> They encourage parties to notify the</w:t>
      </w:r>
      <w:r w:rsidR="001731F7">
        <w:t>ir merger to the</w:t>
      </w:r>
      <w:r>
        <w:t xml:space="preserve"> ACCC if the products of the merger parties are either substitutes or complements and the merged firm will have a post</w:t>
      </w:r>
      <w:r w:rsidR="00EA641B">
        <w:t>-</w:t>
      </w:r>
      <w:r>
        <w:t>merger market share of greater than 20 per cent in the relevant markets. The guidelines notes that:</w:t>
      </w:r>
    </w:p>
    <w:p w14:paraId="1AC28331" w14:textId="6C23CF3E" w:rsidR="00156F0D" w:rsidRPr="00235A8E" w:rsidRDefault="00156F0D" w:rsidP="00156F0D">
      <w:pPr>
        <w:ind w:left="720"/>
      </w:pPr>
      <w:r>
        <w:rPr>
          <w:i/>
          <w:iCs/>
        </w:rPr>
        <w:t>“</w:t>
      </w:r>
      <w:r w:rsidRPr="00C70430">
        <w:rPr>
          <w:i/>
          <w:iCs/>
        </w:rPr>
        <w:t xml:space="preserve">The calculation of market shares depends critically on market definition. If there is uncertainty as to the relevant market, </w:t>
      </w:r>
      <w:r w:rsidRPr="00C70430">
        <w:rPr>
          <w:b/>
          <w:bCs/>
          <w:i/>
          <w:iCs/>
        </w:rPr>
        <w:t>it is preferable that market shares be calculated on the basis of the market definition most likely to raise competition concerns</w:t>
      </w:r>
      <w:r w:rsidRPr="00C70430">
        <w:rPr>
          <w:i/>
          <w:iCs/>
        </w:rPr>
        <w:t>. This will usually mean adopting a conservative rather than broad definition of the market, unless doing so would reduce or eliminate the overlap between the merger parties.</w:t>
      </w:r>
      <w:r w:rsidR="00F8435F">
        <w:rPr>
          <w:i/>
          <w:iCs/>
        </w:rPr>
        <w:t>”</w:t>
      </w:r>
      <w:r w:rsidRPr="00C70430">
        <w:rPr>
          <w:rStyle w:val="FootnoteReference"/>
          <w:vertAlign w:val="superscript"/>
        </w:rPr>
        <w:footnoteReference w:id="50"/>
      </w:r>
    </w:p>
    <w:p w14:paraId="332FA8B9" w14:textId="35000350" w:rsidR="00156F0D" w:rsidRDefault="00156F0D" w:rsidP="00156F0D">
      <w:r>
        <w:t xml:space="preserve">Treasury recognises that using market share thresholds may create some uncertainty in a mandatory merger control system. </w:t>
      </w:r>
      <w:r w:rsidRPr="00A535D4">
        <w:t>The OECD and the ICN generally recommend that market share thresholds should not be used as the only indicator in a mandatory system because they are not clear and objective notification criteria.</w:t>
      </w:r>
      <w:r w:rsidRPr="005461C3">
        <w:rPr>
          <w:rStyle w:val="FootnoteReference"/>
          <w:vertAlign w:val="superscript"/>
        </w:rPr>
        <w:footnoteReference w:id="51"/>
      </w:r>
      <w:r w:rsidRPr="00A535D4">
        <w:t xml:space="preserve"> </w:t>
      </w:r>
      <w:r>
        <w:t>Calculating market share depends on how the product and geographic dimensions of the affected market is defined. Different market definitions can give different market shares, which could create uncertainty over whether a merger should be notified. For this reason, consistent with the current ACCC approach</w:t>
      </w:r>
      <w:r w:rsidR="00683314">
        <w:t>,</w:t>
      </w:r>
      <w:r>
        <w:t xml:space="preserve"> a market share threshold would require merger parties to calculate market share based on the market definition most likely to raise competition concerns.</w:t>
      </w:r>
    </w:p>
    <w:p w14:paraId="5CA2F71A" w14:textId="47EF041E" w:rsidR="00156F0D" w:rsidRDefault="00156F0D" w:rsidP="00156F0D">
      <w:r w:rsidRPr="00A535D4">
        <w:t>Some jurisdictions including Spain, Portugal and Israel have successfully applied mandatory market share thresholds for many years. Evaluation by international competition agencies have found these market share thresholds have been particularly effective at capturing higher-risk mergers, including nascent acquisitions, that may have evaded notification.</w:t>
      </w:r>
      <w:r w:rsidRPr="005461C3">
        <w:rPr>
          <w:rStyle w:val="FootnoteReference"/>
          <w:vertAlign w:val="superscript"/>
        </w:rPr>
        <w:footnoteReference w:id="52"/>
      </w:r>
      <w:r>
        <w:t xml:space="preserve"> Market share thresholds can also be tailored </w:t>
      </w:r>
      <w:r>
        <w:lastRenderedPageBreak/>
        <w:t>to balance the need to scrutinise potentially anti-competitive mergers, minimise administrative burdens and take into account economy-specific features such as smaller markets.</w:t>
      </w:r>
      <w:r w:rsidRPr="00C330AF">
        <w:rPr>
          <w:rStyle w:val="FootnoteReference"/>
          <w:vertAlign w:val="superscript"/>
        </w:rPr>
        <w:footnoteReference w:id="53"/>
      </w:r>
    </w:p>
    <w:p w14:paraId="51594462" w14:textId="5B2DBC4D" w:rsidR="00156F0D" w:rsidRDefault="00156F0D" w:rsidP="00156F0D">
      <w:pPr>
        <w:pStyle w:val="Heading3"/>
      </w:pPr>
      <w:bookmarkStart w:id="33" w:name="_Toc176443950"/>
      <w:r>
        <w:t>Share of supply</w:t>
      </w:r>
      <w:bookmarkEnd w:id="33"/>
    </w:p>
    <w:p w14:paraId="4906E97F" w14:textId="235B2508" w:rsidR="00156F0D" w:rsidRDefault="00156F0D" w:rsidP="00156F0D">
      <w:r>
        <w:t xml:space="preserve">As an alternative to market shares, thresholds </w:t>
      </w:r>
      <w:r w:rsidR="008E271F">
        <w:t xml:space="preserve">could </w:t>
      </w:r>
      <w:r>
        <w:t xml:space="preserve">be based on the share of supply of goods or services by the businesses involved in the acquisition, calculated based on the activities of the acquirer and target in the areas where they are active. A benefit of this method is that it does not require businesses or the competition agency to define the relevant market/s as the assessment is based on the specific product or service supplied and it is not necessary to consider the substitutability </w:t>
      </w:r>
      <w:r w:rsidR="006D1914" w:rsidRPr="00D22695">
        <w:t>or complementarity</w:t>
      </w:r>
      <w:r w:rsidR="006D1914">
        <w:t xml:space="preserve"> </w:t>
      </w:r>
      <w:r>
        <w:t>of goods or services.</w:t>
      </w:r>
    </w:p>
    <w:p w14:paraId="759943D5" w14:textId="7A2D0ED9" w:rsidR="00156F0D" w:rsidRDefault="00156F0D" w:rsidP="00156F0D">
      <w:r>
        <w:t xml:space="preserve">In the United Kingdom, the Competition and Markets Authority (CMA) has jurisdiction over mergers where the merged entity will </w:t>
      </w:r>
      <w:r w:rsidR="006F2606">
        <w:t xml:space="preserve">create or enhance a share of </w:t>
      </w:r>
      <w:r>
        <w:t>25</w:t>
      </w:r>
      <w:r w:rsidR="005160EF">
        <w:t xml:space="preserve"> per cent</w:t>
      </w:r>
      <w:r>
        <w:t xml:space="preserve"> o</w:t>
      </w:r>
      <w:r w:rsidR="005A3E96">
        <w:t>r</w:t>
      </w:r>
      <w:r>
        <w:t xml:space="preserve"> more of </w:t>
      </w:r>
      <w:r w:rsidR="005A3E96">
        <w:t>the supply</w:t>
      </w:r>
      <w:r>
        <w:t xml:space="preserve"> of goods or services in the UK or in a substantial part of the UK.</w:t>
      </w:r>
      <w:r w:rsidRPr="00F96859">
        <w:rPr>
          <w:rStyle w:val="FootnoteReference"/>
          <w:vertAlign w:val="superscript"/>
        </w:rPr>
        <w:footnoteReference w:id="54"/>
      </w:r>
      <w:r>
        <w:t xml:space="preserve"> Share of supply in the UK context is capable of being defined by criterion including value, cost, price, quantity, capacity, or workers employed.</w:t>
      </w:r>
      <w:r w:rsidRPr="00637F23">
        <w:t xml:space="preserve"> </w:t>
      </w:r>
      <w:r>
        <w:t>The CMA has a relatively broad discretion in applying this jurisdictional threshold in its merger system</w:t>
      </w:r>
      <w:r w:rsidRPr="006C080D">
        <w:t xml:space="preserve"> </w:t>
      </w:r>
      <w:r>
        <w:t>where notification is voluntary.</w:t>
      </w:r>
    </w:p>
    <w:p w14:paraId="6398157E" w14:textId="4381552C" w:rsidR="00156F0D" w:rsidRDefault="00156F0D" w:rsidP="00156F0D">
      <w:r>
        <w:t>Broad parameters may be less appropriate in a mandatory notification system. This concept could be applied in an Australian context, but in a more limited way with reference to quantity</w:t>
      </w:r>
      <w:r w:rsidR="00AD6AC4">
        <w:t xml:space="preserve"> and/or</w:t>
      </w:r>
      <w:r>
        <w:t xml:space="preserve"> value</w:t>
      </w:r>
      <w:r w:rsidDel="00AD6AC4">
        <w:t xml:space="preserve"> </w:t>
      </w:r>
      <w:r>
        <w:t>of supply of a good or service</w:t>
      </w:r>
      <w:r w:rsidR="00AD6AC4">
        <w:t>, or the capacity to supply a good or service</w:t>
      </w:r>
      <w:r>
        <w:t xml:space="preserve">. </w:t>
      </w:r>
    </w:p>
    <w:p w14:paraId="34A63B56" w14:textId="77777777" w:rsidR="00A74189" w:rsidRDefault="00A74189" w:rsidP="00A74189">
      <w:pPr>
        <w:pStyle w:val="Heading3"/>
      </w:pPr>
      <w:bookmarkStart w:id="34" w:name="_Toc176443951"/>
      <w:r>
        <w:t xml:space="preserve">Market concentration administrative </w:t>
      </w:r>
      <w:r w:rsidRPr="00A74189">
        <w:t>approach</w:t>
      </w:r>
      <w:bookmarkEnd w:id="34"/>
    </w:p>
    <w:p w14:paraId="54A4E004" w14:textId="3FE6DE97" w:rsidR="00120374" w:rsidRDefault="00120374" w:rsidP="00120374">
      <w:r>
        <w:t xml:space="preserve">Product, service and geographic dimensions are relevant to considering the competition risks associated with an acquisition. </w:t>
      </w:r>
    </w:p>
    <w:p w14:paraId="5432D4CA" w14:textId="5C931677" w:rsidR="00120374" w:rsidRDefault="00120374" w:rsidP="00120374">
      <w:r>
        <w:t>However, as discussed above, there may be compliance costs and uncertainty associated with applying market concentration thresholds. An alternative, administrative approach may be to identify certain goods or services in certain local or regional areas</w:t>
      </w:r>
      <w:r w:rsidRPr="00D02E7A">
        <w:rPr>
          <w:rStyle w:val="FootnoteReference"/>
          <w:vertAlign w:val="superscript"/>
        </w:rPr>
        <w:footnoteReference w:id="55"/>
      </w:r>
      <w:r>
        <w:t xml:space="preserve"> where prior registration is required. It would balance compliance </w:t>
      </w:r>
      <w:r w:rsidR="00D210AF">
        <w:t>costs</w:t>
      </w:r>
      <w:r>
        <w:t xml:space="preserve"> with the objective of preventing anti-competitive mergers in concentrated or smaller markets. </w:t>
      </w:r>
    </w:p>
    <w:p w14:paraId="3D1A3355" w14:textId="3886C80F" w:rsidR="00120374" w:rsidRDefault="00120374" w:rsidP="00120374">
      <w:r>
        <w:t xml:space="preserve">A simple administrative form could be used to register such acquisitions with the ACCC. There would be no requirement to notify unless the ACCC requests notification within a short period of time, such as within 5 or 10 business days of registration. This would minimise the compliance </w:t>
      </w:r>
      <w:r w:rsidR="00D210AF">
        <w:t>costs</w:t>
      </w:r>
      <w:r>
        <w:t xml:space="preserve"> of merger parties, while allowing the ACCC to scrutinise potential mergers of concern in small product markets, or local or regional areas.</w:t>
      </w:r>
    </w:p>
    <w:p w14:paraId="44DDB2DC" w14:textId="5EA0D480" w:rsidR="00156F0D" w:rsidRDefault="00156F0D" w:rsidP="00156F0D">
      <w:pPr>
        <w:pStyle w:val="Heading2"/>
      </w:pPr>
      <w:bookmarkStart w:id="35" w:name="_Toc176443952"/>
      <w:r>
        <w:t>What level should the market concentration thresholds be?</w:t>
      </w:r>
      <w:bookmarkEnd w:id="35"/>
    </w:p>
    <w:p w14:paraId="6D1A2DF9" w14:textId="2DE476A1" w:rsidR="00156F0D" w:rsidRDefault="00156F0D" w:rsidP="00156F0D">
      <w:r>
        <w:t>Regardless of which measure is chosen, Treasury proposes a two</w:t>
      </w:r>
      <w:r>
        <w:noBreakHyphen/>
        <w:t xml:space="preserve">tiered market concentration threshold similar to the approach in Spain and Portugal. The first threshold would be set at 25 per cent </w:t>
      </w:r>
      <w:r>
        <w:lastRenderedPageBreak/>
        <w:t xml:space="preserve">with </w:t>
      </w:r>
      <w:r w:rsidR="008B3CAF">
        <w:t xml:space="preserve">total </w:t>
      </w:r>
      <w:r w:rsidRPr="004B7427">
        <w:t>Australian turnover</w:t>
      </w:r>
      <w:r>
        <w:t xml:space="preserve"> of at least two of the parties</w:t>
      </w:r>
      <w:r w:rsidR="00D66782">
        <w:t xml:space="preserve"> to the acquisition</w:t>
      </w:r>
      <w:r w:rsidR="00C202C9">
        <w:t xml:space="preserve"> (including the acquirer group</w:t>
      </w:r>
      <w:r w:rsidR="00B25449">
        <w:t>)</w:t>
      </w:r>
      <w:r w:rsidR="00D66782">
        <w:t xml:space="preserve"> </w:t>
      </w:r>
      <w:r w:rsidR="009F2266">
        <w:t xml:space="preserve">needing to be </w:t>
      </w:r>
      <w:r w:rsidR="00B25449">
        <w:t>at</w:t>
      </w:r>
      <w:r w:rsidR="004B6C44">
        <w:t xml:space="preserve"> </w:t>
      </w:r>
      <w:r w:rsidR="004B6C44" w:rsidRPr="00710D4D">
        <w:t xml:space="preserve">least </w:t>
      </w:r>
      <w:r w:rsidRPr="00710D4D">
        <w:t>$</w:t>
      </w:r>
      <w:r w:rsidR="00C267D2">
        <w:t>20</w:t>
      </w:r>
      <w:r w:rsidRPr="00710D4D">
        <w:t xml:space="preserve"> million</w:t>
      </w:r>
      <w:r w:rsidR="002C0790" w:rsidRPr="00710D4D">
        <w:t xml:space="preserve"> to be notifiable</w:t>
      </w:r>
      <w:r w:rsidRPr="00710D4D">
        <w:t xml:space="preserve">. This </w:t>
      </w:r>
      <w:r w:rsidR="009E6A4F">
        <w:t xml:space="preserve">market concentration </w:t>
      </w:r>
      <w:r w:rsidRPr="00710D4D">
        <w:t>figure aligns with the European Commission’s guidelines that market shares exceeding 25 per cent may impede effective competition.</w:t>
      </w:r>
      <w:r w:rsidRPr="00710D4D">
        <w:rPr>
          <w:rStyle w:val="FootnoteReference"/>
          <w:vertAlign w:val="superscript"/>
        </w:rPr>
        <w:footnoteReference w:id="56"/>
      </w:r>
      <w:r w:rsidRPr="00710D4D">
        <w:t xml:space="preserve"> The second threshold would be set at 50 per cent, reflecting mergers involving a </w:t>
      </w:r>
      <w:r w:rsidR="00BD5CC3" w:rsidRPr="00710D4D">
        <w:t xml:space="preserve">business with substantial </w:t>
      </w:r>
      <w:r w:rsidRPr="00710D4D">
        <w:t xml:space="preserve">market </w:t>
      </w:r>
      <w:r w:rsidR="00BD5CC3" w:rsidRPr="00710D4D">
        <w:t>power</w:t>
      </w:r>
      <w:r w:rsidRPr="00710D4D">
        <w:t>, with a lower turnover</w:t>
      </w:r>
      <w:r w:rsidR="008C272C" w:rsidRPr="00710D4D">
        <w:t xml:space="preserve"> </w:t>
      </w:r>
      <w:r w:rsidRPr="00710D4D">
        <w:t>requirement of $</w:t>
      </w:r>
      <w:r w:rsidR="00C267D2">
        <w:t>10</w:t>
      </w:r>
      <w:r w:rsidR="003D49F8" w:rsidRPr="00710D4D">
        <w:t> </w:t>
      </w:r>
      <w:r w:rsidRPr="00710D4D">
        <w:t>million.</w:t>
      </w:r>
      <w:r>
        <w:t xml:space="preserve"> </w:t>
      </w:r>
    </w:p>
    <w:p w14:paraId="01AAEF0A" w14:textId="50E95985" w:rsidR="00156F0D" w:rsidRDefault="00156F0D" w:rsidP="00156F0D">
      <w:r>
        <w:t xml:space="preserve">This approach </w:t>
      </w:r>
      <w:r w:rsidR="00884112">
        <w:t xml:space="preserve">will </w:t>
      </w:r>
      <w:r w:rsidRPr="00306FB2">
        <w:t xml:space="preserve">ensure that key acquisitions involving merger parties with </w:t>
      </w:r>
      <w:r>
        <w:t xml:space="preserve">substantial </w:t>
      </w:r>
      <w:r w:rsidRPr="00306FB2">
        <w:t xml:space="preserve">market power are captured by </w:t>
      </w:r>
      <w:r w:rsidR="006C1A63">
        <w:t>the</w:t>
      </w:r>
      <w:r w:rsidRPr="00306FB2">
        <w:t xml:space="preserve"> market </w:t>
      </w:r>
      <w:r w:rsidR="003F5552">
        <w:t>concentration</w:t>
      </w:r>
      <w:r w:rsidR="003F5552" w:rsidRPr="00306FB2">
        <w:t xml:space="preserve"> </w:t>
      </w:r>
      <w:r w:rsidRPr="00306FB2">
        <w:t>thresholds</w:t>
      </w:r>
      <w:r>
        <w:t>,</w:t>
      </w:r>
      <w:r w:rsidRPr="00306FB2">
        <w:t xml:space="preserve"> </w:t>
      </w:r>
      <w:r>
        <w:t>without capturing</w:t>
      </w:r>
      <w:r w:rsidRPr="00306FB2">
        <w:t xml:space="preserve"> </w:t>
      </w:r>
      <w:r>
        <w:t xml:space="preserve">very </w:t>
      </w:r>
      <w:r w:rsidRPr="00306FB2">
        <w:t xml:space="preserve">small </w:t>
      </w:r>
      <w:r w:rsidR="00A24EDC">
        <w:t>acquisitions</w:t>
      </w:r>
      <w:r>
        <w:t xml:space="preserve">. It also recognises that acquisitions involving merger parties with </w:t>
      </w:r>
      <w:r w:rsidR="00F43021">
        <w:t>substantial market power</w:t>
      </w:r>
      <w:r>
        <w:t xml:space="preserve"> warrants a closer examination even if the size of the acquisition is small, given competition will already be weakened by the presence of the business </w:t>
      </w:r>
      <w:r w:rsidR="00F43021">
        <w:t xml:space="preserve">with substantial market power </w:t>
      </w:r>
      <w:r>
        <w:t>and the risk of harm to consumers.</w:t>
      </w:r>
    </w:p>
    <w:tbl>
      <w:tblPr>
        <w:tblStyle w:val="TableGrid"/>
        <w:tblpPr w:leftFromText="180" w:rightFromText="180" w:vertAnchor="text" w:tblpY="1"/>
        <w:tblOverlap w:val="never"/>
        <w:tblW w:w="0" w:type="auto"/>
        <w:tblLook w:val="04A0" w:firstRow="1" w:lastRow="0" w:firstColumn="1" w:lastColumn="0" w:noHBand="0" w:noVBand="1"/>
      </w:tblPr>
      <w:tblGrid>
        <w:gridCol w:w="9072"/>
      </w:tblGrid>
      <w:tr w:rsidR="009D5106" w:rsidRPr="00F30133" w14:paraId="02D61E98" w14:textId="77777777" w:rsidTr="00BC7DF1">
        <w:trPr>
          <w:cnfStyle w:val="100000000000" w:firstRow="1" w:lastRow="0" w:firstColumn="0" w:lastColumn="0" w:oddVBand="0" w:evenVBand="0" w:oddHBand="0" w:evenHBand="0" w:firstRowFirstColumn="0" w:firstRowLastColumn="0" w:lastRowFirstColumn="0" w:lastRowLastColumn="0"/>
          <w:cantSplit/>
        </w:trPr>
        <w:tc>
          <w:tcPr>
            <w:tcW w:w="0" w:type="dxa"/>
          </w:tcPr>
          <w:p w14:paraId="40910DAC" w14:textId="6B3C621F" w:rsidR="00844A34" w:rsidRPr="00F30133" w:rsidRDefault="00844A34">
            <w:pPr>
              <w:keepNext/>
              <w:rPr>
                <w:b w:val="0"/>
                <w:sz w:val="22"/>
                <w:szCs w:val="22"/>
              </w:rPr>
            </w:pPr>
            <w:r>
              <w:rPr>
                <w:sz w:val="22"/>
                <w:szCs w:val="22"/>
              </w:rPr>
              <w:t>Box</w:t>
            </w:r>
            <w:r w:rsidRPr="00F30133">
              <w:rPr>
                <w:sz w:val="22"/>
                <w:szCs w:val="22"/>
              </w:rPr>
              <w:t xml:space="preserve"> </w:t>
            </w:r>
            <w:r>
              <w:rPr>
                <w:sz w:val="22"/>
                <w:szCs w:val="22"/>
              </w:rPr>
              <w:t>2</w:t>
            </w:r>
            <w:r w:rsidRPr="00F30133">
              <w:rPr>
                <w:sz w:val="22"/>
                <w:szCs w:val="22"/>
              </w:rPr>
              <w:t>. P</w:t>
            </w:r>
            <w:r>
              <w:rPr>
                <w:sz w:val="22"/>
                <w:szCs w:val="22"/>
              </w:rPr>
              <w:t>roposed</w:t>
            </w:r>
            <w:r w:rsidRPr="00F30133">
              <w:rPr>
                <w:sz w:val="22"/>
                <w:szCs w:val="22"/>
              </w:rPr>
              <w:t xml:space="preserve"> </w:t>
            </w:r>
            <w:r>
              <w:rPr>
                <w:sz w:val="22"/>
                <w:szCs w:val="22"/>
              </w:rPr>
              <w:t>market concentration</w:t>
            </w:r>
            <w:r w:rsidRPr="00F30133">
              <w:rPr>
                <w:sz w:val="22"/>
                <w:szCs w:val="22"/>
              </w:rPr>
              <w:t xml:space="preserve"> thresholds</w:t>
            </w:r>
          </w:p>
          <w:p w14:paraId="27A93E0C" w14:textId="77777777" w:rsidR="00844A34" w:rsidRPr="005E49C9" w:rsidRDefault="00844A34" w:rsidP="00844A34">
            <w:pPr>
              <w:keepNext/>
              <w:numPr>
                <w:ilvl w:val="0"/>
                <w:numId w:val="32"/>
              </w:numPr>
              <w:rPr>
                <w:b w:val="0"/>
                <w:bCs/>
                <w:sz w:val="22"/>
                <w:szCs w:val="22"/>
              </w:rPr>
            </w:pPr>
            <w:r w:rsidRPr="005E49C9">
              <w:rPr>
                <w:b w:val="0"/>
                <w:bCs/>
                <w:szCs w:val="22"/>
              </w:rPr>
              <w:t>Notification will be required if either of the following limbs are met:</w:t>
            </w:r>
          </w:p>
          <w:p w14:paraId="22BE24DC" w14:textId="4D31556C" w:rsidR="00844A34" w:rsidRPr="00255B8C" w:rsidRDefault="00B5172B" w:rsidP="00844A34">
            <w:pPr>
              <w:rPr>
                <w:rStyle w:val="Strong"/>
                <w:b/>
                <w:sz w:val="22"/>
                <w:szCs w:val="22"/>
              </w:rPr>
            </w:pPr>
            <w:r w:rsidRPr="00B5172B">
              <w:rPr>
                <w:rStyle w:val="Strong"/>
                <w:noProof/>
                <w:szCs w:val="22"/>
              </w:rPr>
              <w:drawing>
                <wp:inline distT="0" distB="0" distL="0" distR="0" wp14:anchorId="05770E8B" wp14:editId="45B2C6C1">
                  <wp:extent cx="5629275" cy="10628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5468" cy="1065862"/>
                          </a:xfrm>
                          <a:prstGeom prst="rect">
                            <a:avLst/>
                          </a:prstGeom>
                          <a:noFill/>
                          <a:ln>
                            <a:noFill/>
                          </a:ln>
                        </pic:spPr>
                      </pic:pic>
                    </a:graphicData>
                  </a:graphic>
                </wp:inline>
              </w:drawing>
            </w:r>
          </w:p>
          <w:p w14:paraId="7398BEDF" w14:textId="1EC74BE3" w:rsidR="00844A34" w:rsidRPr="005D6DC9" w:rsidRDefault="00844A34" w:rsidP="00844A34">
            <w:pPr>
              <w:rPr>
                <w:rStyle w:val="Strong"/>
                <w:b/>
                <w:bCs w:val="0"/>
                <w:i/>
                <w:iCs/>
                <w:sz w:val="22"/>
                <w:szCs w:val="22"/>
              </w:rPr>
            </w:pPr>
            <w:r w:rsidRPr="005D6DC9">
              <w:rPr>
                <w:rStyle w:val="Strong"/>
                <w:b/>
                <w:bCs w:val="0"/>
                <w:i/>
                <w:szCs w:val="22"/>
              </w:rPr>
              <w:t xml:space="preserve">Market </w:t>
            </w:r>
            <w:r w:rsidR="008A451B">
              <w:rPr>
                <w:rStyle w:val="Strong"/>
                <w:b/>
                <w:bCs w:val="0"/>
                <w:i/>
                <w:szCs w:val="22"/>
              </w:rPr>
              <w:t>s</w:t>
            </w:r>
            <w:r w:rsidRPr="005D6DC9">
              <w:rPr>
                <w:rStyle w:val="Strong"/>
                <w:b/>
                <w:bCs w:val="0"/>
                <w:i/>
                <w:szCs w:val="28"/>
              </w:rPr>
              <w:t>hare</w:t>
            </w:r>
          </w:p>
          <w:p w14:paraId="45DF5EA2" w14:textId="77777777" w:rsidR="00844A34" w:rsidRPr="005D6DC9" w:rsidRDefault="00844A34" w:rsidP="00844A34">
            <w:pPr>
              <w:numPr>
                <w:ilvl w:val="0"/>
                <w:numId w:val="32"/>
              </w:numPr>
              <w:rPr>
                <w:b w:val="0"/>
                <w:bCs/>
                <w:sz w:val="22"/>
                <w:szCs w:val="22"/>
              </w:rPr>
            </w:pPr>
            <w:r w:rsidRPr="005D6DC9">
              <w:rPr>
                <w:b w:val="0"/>
                <w:bCs/>
                <w:szCs w:val="22"/>
              </w:rPr>
              <w:t>Notification will be required if either of the following circumstances are met:</w:t>
            </w:r>
          </w:p>
          <w:p w14:paraId="253E3CCD" w14:textId="5EB6F3DE" w:rsidR="00844A34" w:rsidRPr="009E0557" w:rsidRDefault="00844A34" w:rsidP="009E0557">
            <w:pPr>
              <w:pStyle w:val="Bullet"/>
              <w:rPr>
                <w:b w:val="0"/>
                <w:bCs/>
              </w:rPr>
            </w:pPr>
            <w:r w:rsidRPr="009E0557">
              <w:rPr>
                <w:b w:val="0"/>
                <w:bCs/>
              </w:rPr>
              <w:t xml:space="preserve">Market share of the combined merger parties is at least 25 per cent in the affected or adjacent market/s and the Australian turnover for each of at least two of the parties is at least $20 million; </w:t>
            </w:r>
            <w:r w:rsidRPr="00723CDD">
              <w:rPr>
                <w:u w:val="single"/>
              </w:rPr>
              <w:t>OR</w:t>
            </w:r>
          </w:p>
          <w:p w14:paraId="5FAF570B" w14:textId="2BB67287" w:rsidR="00844A34" w:rsidRPr="009E0557" w:rsidRDefault="00844A34" w:rsidP="009E0557">
            <w:pPr>
              <w:pStyle w:val="Bullet"/>
              <w:rPr>
                <w:b w:val="0"/>
                <w:bCs/>
              </w:rPr>
            </w:pPr>
            <w:r w:rsidRPr="009E0557">
              <w:rPr>
                <w:b w:val="0"/>
                <w:bCs/>
              </w:rPr>
              <w:t>Market share of the combined merger parties is at least 50 per cent in the affected or adjacent market/s and the Australian turnover for each of at least two of the parties is at least $10 million.</w:t>
            </w:r>
          </w:p>
          <w:p w14:paraId="64AB2147" w14:textId="77777777" w:rsidR="00844A34" w:rsidRPr="005D6DC9" w:rsidRDefault="00844A34" w:rsidP="00844A34">
            <w:pPr>
              <w:rPr>
                <w:rStyle w:val="Strong"/>
                <w:b/>
                <w:bCs w:val="0"/>
                <w:i/>
                <w:iCs/>
              </w:rPr>
            </w:pPr>
            <w:r w:rsidRPr="005D6DC9">
              <w:rPr>
                <w:rStyle w:val="Strong"/>
                <w:b/>
                <w:bCs w:val="0"/>
                <w:i/>
                <w:iCs/>
              </w:rPr>
              <w:t>Share of supply</w:t>
            </w:r>
          </w:p>
          <w:p w14:paraId="14288A4C" w14:textId="77777777" w:rsidR="00844A34" w:rsidRPr="005D6DC9" w:rsidRDefault="00844A34" w:rsidP="00844A34">
            <w:pPr>
              <w:numPr>
                <w:ilvl w:val="0"/>
                <w:numId w:val="32"/>
              </w:numPr>
              <w:rPr>
                <w:b w:val="0"/>
                <w:bCs/>
                <w:sz w:val="22"/>
                <w:szCs w:val="22"/>
              </w:rPr>
            </w:pPr>
            <w:r w:rsidRPr="005D6DC9">
              <w:rPr>
                <w:b w:val="0"/>
                <w:bCs/>
                <w:szCs w:val="22"/>
              </w:rPr>
              <w:t>Notification will be required if either of the following circumstances are met:</w:t>
            </w:r>
          </w:p>
          <w:p w14:paraId="724E2F7E" w14:textId="11546795" w:rsidR="00844A34" w:rsidRPr="009E0557" w:rsidRDefault="00844A34" w:rsidP="009E0557">
            <w:pPr>
              <w:pStyle w:val="Bullet"/>
              <w:rPr>
                <w:b w:val="0"/>
                <w:bCs/>
              </w:rPr>
            </w:pPr>
            <w:r w:rsidRPr="009E0557">
              <w:rPr>
                <w:b w:val="0"/>
                <w:bCs/>
              </w:rPr>
              <w:t xml:space="preserve">If parties to an acquisition together supply 25 per cent or more of a good or service within Australia, within a state or territory or within a regional area (to be defined in the regulations) and the Australian turnover for each of at least two of the parties is at least $20 million; </w:t>
            </w:r>
            <w:r w:rsidRPr="00723CDD">
              <w:rPr>
                <w:u w:val="single"/>
              </w:rPr>
              <w:t>OR</w:t>
            </w:r>
          </w:p>
          <w:p w14:paraId="4D77AA89" w14:textId="6E167DFE" w:rsidR="00844A34" w:rsidRPr="00DE4647" w:rsidRDefault="00844A34" w:rsidP="009E0557">
            <w:pPr>
              <w:pStyle w:val="Bullet"/>
              <w:rPr>
                <w:b w:val="0"/>
                <w:bCs/>
              </w:rPr>
            </w:pPr>
            <w:r w:rsidRPr="009E0557">
              <w:rPr>
                <w:b w:val="0"/>
                <w:bCs/>
              </w:rPr>
              <w:t>If parties to an acquisition together supply 50 per cent or more of a good or service within Australia, within a state or territory or within a regional area (to be defined in the regulations) and the Australian turnover for each of</w:t>
            </w:r>
            <w:r w:rsidRPr="009E0557" w:rsidDel="0023240F">
              <w:rPr>
                <w:b w:val="0"/>
                <w:bCs/>
              </w:rPr>
              <w:t xml:space="preserve"> </w:t>
            </w:r>
            <w:r w:rsidRPr="009E0557">
              <w:rPr>
                <w:b w:val="0"/>
                <w:bCs/>
              </w:rPr>
              <w:t>at least two of the parties is at least $10 million.</w:t>
            </w:r>
          </w:p>
        </w:tc>
      </w:tr>
    </w:tbl>
    <w:p w14:paraId="7D30D93A" w14:textId="5C87FC73" w:rsidR="00ED2B75" w:rsidRDefault="00414A53" w:rsidP="00A74189">
      <w:r w:rsidRPr="00414A53">
        <w:rPr>
          <w:noProof/>
        </w:rPr>
        <w:lastRenderedPageBreak/>
        <w:drawing>
          <wp:inline distT="0" distB="0" distL="0" distR="0" wp14:anchorId="76CFBC88" wp14:editId="3AD4621E">
            <wp:extent cx="5760720" cy="3686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3686810"/>
                    </a:xfrm>
                    <a:prstGeom prst="rect">
                      <a:avLst/>
                    </a:prstGeom>
                    <a:noFill/>
                    <a:ln>
                      <a:noFill/>
                    </a:ln>
                  </pic:spPr>
                </pic:pic>
              </a:graphicData>
            </a:graphic>
          </wp:inline>
        </w:drawing>
      </w:r>
    </w:p>
    <w:p w14:paraId="16CB2272" w14:textId="381715FE" w:rsidR="00240274" w:rsidRDefault="00240274" w:rsidP="00A74189"/>
    <w:tbl>
      <w:tblPr>
        <w:tblStyle w:val="TableGrid"/>
        <w:tblW w:w="0" w:type="auto"/>
        <w:tblLook w:val="0400" w:firstRow="0" w:lastRow="0" w:firstColumn="0" w:lastColumn="0" w:noHBand="0" w:noVBand="1"/>
      </w:tblPr>
      <w:tblGrid>
        <w:gridCol w:w="9072"/>
      </w:tblGrid>
      <w:tr w:rsidR="00156F0D" w:rsidRPr="000E0E76" w14:paraId="66B62C52" w14:textId="77777777">
        <w:tc>
          <w:tcPr>
            <w:tcW w:w="9072" w:type="dxa"/>
            <w:shd w:val="clear" w:color="auto" w:fill="E8F0FC" w:themeFill="accent5" w:themeFillTint="33"/>
          </w:tcPr>
          <w:p w14:paraId="3AE6E92D" w14:textId="77777777" w:rsidR="00156F0D" w:rsidRPr="005501D2" w:rsidRDefault="00156F0D">
            <w:pPr>
              <w:rPr>
                <w:b/>
                <w:bCs/>
                <w:color w:val="2C384A" w:themeColor="accent1"/>
                <w:sz w:val="22"/>
                <w:szCs w:val="22"/>
              </w:rPr>
            </w:pPr>
            <w:r w:rsidRPr="005501D2">
              <w:rPr>
                <w:b/>
                <w:bCs/>
                <w:sz w:val="22"/>
                <w:szCs w:val="22"/>
              </w:rPr>
              <w:t>Questions</w:t>
            </w:r>
          </w:p>
          <w:p w14:paraId="49E2FC8B" w14:textId="1704B463" w:rsidR="00156F0D" w:rsidRPr="001E3ADC" w:rsidRDefault="00156F0D">
            <w:pPr>
              <w:pStyle w:val="OutlineNumbered1"/>
              <w:rPr>
                <w:sz w:val="22"/>
                <w:szCs w:val="22"/>
              </w:rPr>
            </w:pPr>
            <w:r w:rsidRPr="001E3ADC">
              <w:rPr>
                <w:sz w:val="22"/>
                <w:szCs w:val="22"/>
              </w:rPr>
              <w:t>Is market share or share of supply the appropriate metric to use for the market concentration threshold? Are there alternative indicators that Treasury should consider?</w:t>
            </w:r>
          </w:p>
          <w:p w14:paraId="1A2E0494" w14:textId="181C8C50" w:rsidR="00156F0D" w:rsidRPr="001E3ADC" w:rsidRDefault="00156F0D">
            <w:pPr>
              <w:pStyle w:val="OutlineNumbered1"/>
              <w:rPr>
                <w:sz w:val="22"/>
                <w:szCs w:val="22"/>
              </w:rPr>
            </w:pPr>
            <w:r>
              <w:rPr>
                <w:sz w:val="22"/>
                <w:szCs w:val="22"/>
              </w:rPr>
              <w:t xml:space="preserve">Is the </w:t>
            </w:r>
            <w:r w:rsidRPr="00C81181">
              <w:rPr>
                <w:sz w:val="22"/>
                <w:szCs w:val="22"/>
              </w:rPr>
              <w:t xml:space="preserve">proposed two-tiered </w:t>
            </w:r>
            <w:r>
              <w:rPr>
                <w:sz w:val="22"/>
                <w:szCs w:val="22"/>
              </w:rPr>
              <w:t>approach appropriate to target different levels of market concentration?</w:t>
            </w:r>
          </w:p>
          <w:p w14:paraId="02391FD0" w14:textId="230D3E1F" w:rsidR="00156F0D" w:rsidRPr="00E73E4E" w:rsidRDefault="00156F0D">
            <w:pPr>
              <w:pStyle w:val="OutlineNumbered1"/>
              <w:rPr>
                <w:bCs/>
                <w:sz w:val="22"/>
                <w:szCs w:val="22"/>
              </w:rPr>
            </w:pPr>
            <w:r w:rsidRPr="001E3ADC">
              <w:rPr>
                <w:sz w:val="22"/>
                <w:szCs w:val="22"/>
              </w:rPr>
              <w:t>What should be the numerical value</w:t>
            </w:r>
            <w:r w:rsidR="004C000A">
              <w:rPr>
                <w:sz w:val="22"/>
                <w:szCs w:val="22"/>
              </w:rPr>
              <w:t>s</w:t>
            </w:r>
            <w:r w:rsidRPr="001E3ADC">
              <w:rPr>
                <w:sz w:val="22"/>
                <w:szCs w:val="22"/>
              </w:rPr>
              <w:t xml:space="preserve"> for the market concentration threshold that appropriately captures mergers </w:t>
            </w:r>
            <w:r w:rsidR="00C309F0">
              <w:rPr>
                <w:sz w:val="22"/>
                <w:szCs w:val="22"/>
              </w:rPr>
              <w:t>that</w:t>
            </w:r>
            <w:r w:rsidR="00C309F0" w:rsidRPr="001E3ADC">
              <w:rPr>
                <w:sz w:val="22"/>
                <w:szCs w:val="22"/>
              </w:rPr>
              <w:t xml:space="preserve"> </w:t>
            </w:r>
            <w:r w:rsidRPr="001E3ADC">
              <w:rPr>
                <w:sz w:val="22"/>
                <w:szCs w:val="22"/>
              </w:rPr>
              <w:t xml:space="preserve">have the potential to raise competition concerns and balances </w:t>
            </w:r>
            <w:r w:rsidR="00C44D08">
              <w:rPr>
                <w:sz w:val="22"/>
                <w:szCs w:val="22"/>
              </w:rPr>
              <w:t>compliance costs</w:t>
            </w:r>
            <w:r w:rsidRPr="001E3ADC">
              <w:rPr>
                <w:sz w:val="22"/>
                <w:szCs w:val="22"/>
              </w:rPr>
              <w:t>?</w:t>
            </w:r>
          </w:p>
          <w:p w14:paraId="065785D7" w14:textId="39F4D0C9" w:rsidR="00E73E4E" w:rsidRPr="005501D2" w:rsidRDefault="00C209DA">
            <w:pPr>
              <w:pStyle w:val="OutlineNumbered1"/>
              <w:rPr>
                <w:bCs/>
                <w:sz w:val="22"/>
                <w:szCs w:val="22"/>
              </w:rPr>
            </w:pPr>
            <w:r>
              <w:rPr>
                <w:bCs/>
                <w:sz w:val="22"/>
                <w:szCs w:val="22"/>
              </w:rPr>
              <w:t xml:space="preserve">Is </w:t>
            </w:r>
            <w:r w:rsidR="00D658EB">
              <w:rPr>
                <w:bCs/>
                <w:sz w:val="22"/>
                <w:szCs w:val="22"/>
              </w:rPr>
              <w:t xml:space="preserve">the </w:t>
            </w:r>
            <w:r w:rsidRPr="00C209DA">
              <w:rPr>
                <w:bCs/>
                <w:sz w:val="22"/>
                <w:szCs w:val="22"/>
              </w:rPr>
              <w:t>administrative approach</w:t>
            </w:r>
            <w:r>
              <w:rPr>
                <w:bCs/>
                <w:sz w:val="22"/>
                <w:szCs w:val="22"/>
              </w:rPr>
              <w:t xml:space="preserve"> for market concentration an alternative to</w:t>
            </w:r>
            <w:r w:rsidR="00D658EB">
              <w:rPr>
                <w:bCs/>
                <w:sz w:val="22"/>
                <w:szCs w:val="22"/>
              </w:rPr>
              <w:t xml:space="preserve"> </w:t>
            </w:r>
            <w:r w:rsidR="00571D58">
              <w:rPr>
                <w:bCs/>
                <w:sz w:val="22"/>
                <w:szCs w:val="22"/>
              </w:rPr>
              <w:t xml:space="preserve">the </w:t>
            </w:r>
            <w:r w:rsidR="00C01CCC">
              <w:rPr>
                <w:bCs/>
                <w:sz w:val="22"/>
                <w:szCs w:val="22"/>
              </w:rPr>
              <w:t>market concentration threshold</w:t>
            </w:r>
            <w:r w:rsidR="00571D58">
              <w:rPr>
                <w:bCs/>
                <w:sz w:val="22"/>
                <w:szCs w:val="22"/>
              </w:rPr>
              <w:t>s</w:t>
            </w:r>
            <w:r w:rsidR="00C01CCC">
              <w:rPr>
                <w:bCs/>
                <w:sz w:val="22"/>
                <w:szCs w:val="22"/>
              </w:rPr>
              <w:t>?</w:t>
            </w:r>
            <w:r w:rsidR="00571D58">
              <w:rPr>
                <w:bCs/>
                <w:sz w:val="22"/>
                <w:szCs w:val="22"/>
              </w:rPr>
              <w:t xml:space="preserve"> </w:t>
            </w:r>
            <w:r w:rsidR="0008171D">
              <w:rPr>
                <w:bCs/>
                <w:sz w:val="22"/>
                <w:szCs w:val="22"/>
              </w:rPr>
              <w:t xml:space="preserve">If so, </w:t>
            </w:r>
            <w:r w:rsidR="00C06378">
              <w:rPr>
                <w:bCs/>
                <w:sz w:val="22"/>
                <w:szCs w:val="22"/>
              </w:rPr>
              <w:t>what design should the administrative form take</w:t>
            </w:r>
            <w:r w:rsidR="0098226C">
              <w:rPr>
                <w:bCs/>
                <w:sz w:val="22"/>
                <w:szCs w:val="22"/>
              </w:rPr>
              <w:t>?</w:t>
            </w:r>
          </w:p>
        </w:tc>
      </w:tr>
    </w:tbl>
    <w:p w14:paraId="75716F51" w14:textId="77777777" w:rsidR="00156F0D" w:rsidRDefault="00156F0D" w:rsidP="00156F0D">
      <w:r>
        <w:br w:type="page"/>
      </w:r>
    </w:p>
    <w:p w14:paraId="28EC6F7E" w14:textId="3AC9E51D" w:rsidR="00156F0D" w:rsidRPr="00FF282F" w:rsidRDefault="00156F0D" w:rsidP="00156F0D">
      <w:pPr>
        <w:pStyle w:val="Heading1"/>
      </w:pPr>
      <w:bookmarkStart w:id="36" w:name="_Toc176443953"/>
      <w:r>
        <w:lastRenderedPageBreak/>
        <w:t xml:space="preserve">Additional targeted notification </w:t>
      </w:r>
      <w:r w:rsidR="009F5C7E">
        <w:t>requirements</w:t>
      </w:r>
      <w:bookmarkEnd w:id="36"/>
    </w:p>
    <w:p w14:paraId="41BD27C4" w14:textId="59E140C8" w:rsidR="009B2A58" w:rsidRDefault="009B2A58" w:rsidP="009B2A58">
      <w:r>
        <w:t>There may be enduring competition risks that arise in certain markets over time that may not be captured by the monetary or market concentration thresholds. In these circumstances, targeted notification</w:t>
      </w:r>
      <w:r w:rsidDel="003518BD">
        <w:t xml:space="preserve"> </w:t>
      </w:r>
      <w:r>
        <w:t>requirements set by a Treasury Minister in response to evidence</w:t>
      </w:r>
      <w:r>
        <w:noBreakHyphen/>
        <w:t>based concerns may be appropriate to ensure certain potentially anti-competitive mergers are examined by the ACCC.</w:t>
      </w:r>
      <w:r w:rsidR="004C78D1">
        <w:t xml:space="preserve"> </w:t>
      </w:r>
    </w:p>
    <w:p w14:paraId="65B86316" w14:textId="7DDA0D1B" w:rsidR="00156F0D" w:rsidRDefault="00156F0D" w:rsidP="00156F0D">
      <w:pPr>
        <w:pStyle w:val="Heading2"/>
      </w:pPr>
      <w:bookmarkStart w:id="37" w:name="_Toc176443954"/>
      <w:r>
        <w:t>Scrutiny may be warranted in certain areas</w:t>
      </w:r>
      <w:bookmarkEnd w:id="37"/>
    </w:p>
    <w:p w14:paraId="3F862FC7" w14:textId="555D8452" w:rsidR="002A13BF" w:rsidRDefault="00156F0D" w:rsidP="00156F0D">
      <w:r>
        <w:t xml:space="preserve">Internationally, there has been a rise in the use of industry or business specific thresholds or requirements to target specific competition risks or certain types of behaviour (such as serial acquisitions). For example, in the United Kingdom, designated grocery retailers are required to notify the Competition and Markets Authority </w:t>
      </w:r>
      <w:r w:rsidR="00306E48">
        <w:t xml:space="preserve">(CMA) </w:t>
      </w:r>
      <w:r>
        <w:t>of any acquisition of a grocery store with over 1,000 m</w:t>
      </w:r>
      <w:r>
        <w:rPr>
          <w:vertAlign w:val="superscript"/>
        </w:rPr>
        <w:t>2</w:t>
      </w:r>
      <w:r>
        <w:t xml:space="preserve"> of retail space.</w:t>
      </w:r>
      <w:r w:rsidRPr="00595CE9">
        <w:rPr>
          <w:rStyle w:val="FootnoteReference"/>
          <w:vertAlign w:val="superscript"/>
        </w:rPr>
        <w:footnoteReference w:id="57"/>
      </w:r>
      <w:r>
        <w:t xml:space="preserve"> </w:t>
      </w:r>
    </w:p>
    <w:p w14:paraId="6FB1CD61" w14:textId="42DD5156" w:rsidR="00156F0D" w:rsidRDefault="0041279C" w:rsidP="00156F0D">
      <w:r>
        <w:t xml:space="preserve">In </w:t>
      </w:r>
      <w:r w:rsidR="00156F0D">
        <w:t>Norway, the Norwegian Competition Authority requires specific market operators in the groceries and fuel retail sectors to disclose all transaction</w:t>
      </w:r>
      <w:r w:rsidR="009D101B">
        <w:t>s</w:t>
      </w:r>
      <w:r w:rsidR="00156F0D">
        <w:t xml:space="preserve"> regardless </w:t>
      </w:r>
      <w:r>
        <w:t xml:space="preserve">of whether </w:t>
      </w:r>
      <w:r w:rsidR="00156F0D">
        <w:t xml:space="preserve">the notification thresholds are </w:t>
      </w:r>
      <w:r>
        <w:t xml:space="preserve">otherwise </w:t>
      </w:r>
      <w:r w:rsidR="00156F0D">
        <w:t>met.</w:t>
      </w:r>
      <w:r w:rsidR="00156F0D" w:rsidRPr="00595CE9">
        <w:rPr>
          <w:rStyle w:val="FootnoteReference"/>
          <w:vertAlign w:val="superscript"/>
        </w:rPr>
        <w:footnoteReference w:id="58"/>
      </w:r>
      <w:r w:rsidR="00156F0D">
        <w:t xml:space="preserve"> In 2021, Germany introduced a ‘</w:t>
      </w:r>
      <w:r w:rsidR="00156F0D" w:rsidRPr="00D66D55">
        <w:rPr>
          <w:i/>
          <w:iCs/>
        </w:rPr>
        <w:t xml:space="preserve">Remondis </w:t>
      </w:r>
      <w:r w:rsidR="00156F0D" w:rsidRPr="00307E3A">
        <w:rPr>
          <w:i/>
          <w:iCs/>
        </w:rPr>
        <w:t>clause</w:t>
      </w:r>
      <w:r w:rsidR="00156F0D">
        <w:t>’ where stricter thresholds are imposed on specific companies in sectors or markets at risk of concentration.</w:t>
      </w:r>
      <w:r w:rsidR="00156F0D" w:rsidRPr="00D6037A">
        <w:rPr>
          <w:rStyle w:val="FootnoteReference"/>
          <w:vertAlign w:val="superscript"/>
        </w:rPr>
        <w:footnoteReference w:id="59"/>
      </w:r>
    </w:p>
    <w:p w14:paraId="26C288CC" w14:textId="289DC762" w:rsidR="00156F0D" w:rsidRDefault="00156F0D" w:rsidP="00156F0D">
      <w:r>
        <w:t>In Australia:</w:t>
      </w:r>
    </w:p>
    <w:p w14:paraId="4F89B195" w14:textId="29B55AE9" w:rsidR="00156F0D" w:rsidRDefault="00156F0D" w:rsidP="00156F0D">
      <w:pPr>
        <w:pStyle w:val="Bullet"/>
      </w:pPr>
      <w:r>
        <w:t xml:space="preserve">The ACCC has identified groceries, fuel, liquor and </w:t>
      </w:r>
      <w:r w:rsidR="00CA7D96">
        <w:t>oncology</w:t>
      </w:r>
      <w:r w:rsidR="007C47A7">
        <w:t>-</w:t>
      </w:r>
      <w:r>
        <w:t>radiology as sectors where potential competition issues may arise.</w:t>
      </w:r>
      <w:r w:rsidRPr="002338DF">
        <w:rPr>
          <w:rStyle w:val="FootnoteReference"/>
          <w:vertAlign w:val="superscript"/>
        </w:rPr>
        <w:footnoteReference w:id="60"/>
      </w:r>
    </w:p>
    <w:p w14:paraId="49B0FF3B" w14:textId="7FBE7B7B" w:rsidR="00156F0D" w:rsidRPr="00B07CA8" w:rsidRDefault="00156F0D" w:rsidP="00156F0D">
      <w:pPr>
        <w:pStyle w:val="Bullet"/>
      </w:pPr>
      <w:r>
        <w:t xml:space="preserve">The </w:t>
      </w:r>
      <w:r w:rsidRPr="00220118">
        <w:t>Select Committee on Supermarket Prices</w:t>
      </w:r>
      <w:r>
        <w:t xml:space="preserve"> has identified the use of land banking and creeping acquisitions as a way of reducing competition and solidifying market power in grocery retailing.</w:t>
      </w:r>
      <w:r w:rsidRPr="003271DD">
        <w:rPr>
          <w:rStyle w:val="FootnoteReference"/>
          <w:vertAlign w:val="superscript"/>
        </w:rPr>
        <w:footnoteReference w:id="61"/>
      </w:r>
      <w:r w:rsidRPr="003271DD">
        <w:rPr>
          <w:vertAlign w:val="superscript"/>
        </w:rPr>
        <w:t xml:space="preserve"> </w:t>
      </w:r>
    </w:p>
    <w:p w14:paraId="34CFCD90" w14:textId="40AA835D" w:rsidR="00156F0D" w:rsidRDefault="00156F0D" w:rsidP="00156F0D">
      <w:pPr>
        <w:pStyle w:val="Bullet"/>
      </w:pPr>
      <w:r>
        <w:t>The e61 institute has identified that fuel stations in metropolitan areas with less competition tended to charge higher wholesale margins. The same report also observed that as wholesale fuel prices rose in 2022, margins fell at a slower pace for stations in more concentrated markets, suggesting a lack of competitors may reduce the incentive to absorb a cost increase.</w:t>
      </w:r>
      <w:r w:rsidRPr="00217162">
        <w:rPr>
          <w:rStyle w:val="FootnoteReference"/>
          <w:vertAlign w:val="superscript"/>
        </w:rPr>
        <w:footnoteReference w:id="62"/>
      </w:r>
    </w:p>
    <w:p w14:paraId="1399DE38" w14:textId="689EB7EB" w:rsidR="00156F0D" w:rsidRDefault="00156F0D" w:rsidP="00156F0D">
      <w:pPr>
        <w:pStyle w:val="Heading2"/>
      </w:pPr>
      <w:bookmarkStart w:id="38" w:name="_Toc176443955"/>
      <w:r>
        <w:t>Ministerial thresholds will be based on evidence</w:t>
      </w:r>
      <w:bookmarkEnd w:id="38"/>
    </w:p>
    <w:p w14:paraId="351D93E5" w14:textId="25B5BB12" w:rsidR="00F531E5" w:rsidRDefault="008F36FD" w:rsidP="00156F0D">
      <w:r>
        <w:t>Prior to any Ministerial determination of an additional notification requirement</w:t>
      </w:r>
      <w:r w:rsidR="00AC3A88">
        <w:t xml:space="preserve"> being made</w:t>
      </w:r>
      <w:r>
        <w:t xml:space="preserve">, </w:t>
      </w:r>
      <w:r w:rsidR="00161076">
        <w:t xml:space="preserve">evidence-based analysis and advice will need to be presented to a Treasury Minister, and </w:t>
      </w:r>
      <w:r w:rsidR="00AC3A88">
        <w:t xml:space="preserve">stakeholder consultation undertaken. </w:t>
      </w:r>
      <w:r w:rsidR="00156F0D">
        <w:t>The Exposure Draft (</w:t>
      </w:r>
      <w:r w:rsidR="00156F0D" w:rsidRPr="0084491E">
        <w:rPr>
          <w:i/>
          <w:iCs/>
        </w:rPr>
        <w:t>Treasury Laws Amendment Bill 2024: Acquis</w:t>
      </w:r>
      <w:r w:rsidR="00156F0D">
        <w:rPr>
          <w:i/>
          <w:iCs/>
        </w:rPr>
        <w:t>i</w:t>
      </w:r>
      <w:r w:rsidR="00156F0D" w:rsidRPr="0084491E">
        <w:rPr>
          <w:i/>
          <w:iCs/>
        </w:rPr>
        <w:t>tions</w:t>
      </w:r>
      <w:r w:rsidR="00156F0D">
        <w:t xml:space="preserve">) sets out the </w:t>
      </w:r>
      <w:r w:rsidR="004B7D44">
        <w:t xml:space="preserve">proposed </w:t>
      </w:r>
      <w:r w:rsidR="00156F0D">
        <w:t xml:space="preserve">process </w:t>
      </w:r>
      <w:r w:rsidR="00C309F0">
        <w:t xml:space="preserve">that </w:t>
      </w:r>
      <w:r w:rsidR="00156F0D">
        <w:t xml:space="preserve">must be followed for a Treasury Minister to set </w:t>
      </w:r>
      <w:r w:rsidR="00C67685">
        <w:t xml:space="preserve">additional </w:t>
      </w:r>
      <w:r w:rsidR="00156F0D">
        <w:t>targeted</w:t>
      </w:r>
      <w:r w:rsidR="00156F0D" w:rsidDel="00982463">
        <w:t xml:space="preserve"> </w:t>
      </w:r>
      <w:r w:rsidR="00156F0D">
        <w:t xml:space="preserve">notification </w:t>
      </w:r>
      <w:r w:rsidR="00982463">
        <w:t>requirements</w:t>
      </w:r>
      <w:r w:rsidR="00156F0D">
        <w:t xml:space="preserve">. </w:t>
      </w:r>
    </w:p>
    <w:p w14:paraId="22F7AAB8" w14:textId="4C6B4574" w:rsidR="00156F0D" w:rsidRDefault="00156F0D" w:rsidP="00156F0D">
      <w:r>
        <w:t xml:space="preserve">A Treasury Minister will be required to consider any reports </w:t>
      </w:r>
      <w:r w:rsidR="00F531E5">
        <w:t xml:space="preserve">and </w:t>
      </w:r>
      <w:r>
        <w:t>advice from the ACCC and to seek appropriate consultation as reasonably practicable (s</w:t>
      </w:r>
      <w:r w:rsidRPr="008C7A5D">
        <w:t xml:space="preserve">ection 17 of the </w:t>
      </w:r>
      <w:r w:rsidRPr="008301AD">
        <w:rPr>
          <w:i/>
          <w:iCs/>
        </w:rPr>
        <w:t>Legislation Act 2003</w:t>
      </w:r>
      <w:r>
        <w:t xml:space="preserve">) on the </w:t>
      </w:r>
      <w:r>
        <w:lastRenderedPageBreak/>
        <w:t>threshold being proposed in the legislative instrument. The instrument will be disallowable in Parliament and the accompanying explanatory statement will be required to describe the consultation process undertaken.</w:t>
      </w:r>
    </w:p>
    <w:p w14:paraId="5347FAED" w14:textId="362BAB10" w:rsidR="00156F0D" w:rsidRDefault="00881D3D" w:rsidP="00156F0D">
      <w:r>
        <w:t xml:space="preserve">It is intended there will be </w:t>
      </w:r>
      <w:r w:rsidR="00E96AB6">
        <w:t xml:space="preserve">clear procedural requirements for the ACCC and the </w:t>
      </w:r>
      <w:r w:rsidR="00F23514">
        <w:t xml:space="preserve">Treasury </w:t>
      </w:r>
      <w:r w:rsidR="00E96AB6">
        <w:t>Minister</w:t>
      </w:r>
      <w:r>
        <w:t xml:space="preserve"> to follow</w:t>
      </w:r>
      <w:r w:rsidR="00732597">
        <w:t>, which could include clear timelines, criteria the Minister must consider and steps to facilitate transparency and consu</w:t>
      </w:r>
      <w:r w:rsidR="007232B0">
        <w:t>ltation</w:t>
      </w:r>
      <w:r w:rsidR="00E96AB6">
        <w:t>.</w:t>
      </w:r>
      <w:r w:rsidR="00AE0A02" w:rsidRPr="00B64790">
        <w:rPr>
          <w:rStyle w:val="FootnoteReference"/>
          <w:vertAlign w:val="superscript"/>
        </w:rPr>
        <w:footnoteReference w:id="63"/>
      </w:r>
      <w:r>
        <w:t xml:space="preserve"> </w:t>
      </w:r>
      <w:r w:rsidR="00156F0D">
        <w:t xml:space="preserve">To ensure the process is transparent, the ACCC report/s or advice provided to a Treasury Minister </w:t>
      </w:r>
      <w:r w:rsidR="002B5D2F">
        <w:t xml:space="preserve">that </w:t>
      </w:r>
      <w:r w:rsidR="00156F0D">
        <w:t>is used to inform the setting of the threshold could be published.</w:t>
      </w:r>
    </w:p>
    <w:p w14:paraId="5B2BC628" w14:textId="74811EBE" w:rsidR="00156F0D" w:rsidRDefault="00156F0D" w:rsidP="00AE1E6C">
      <w:r>
        <w:t>The targeted Ministerial notification obligations threshold set by a Treasury Minister will sunset (i.e. end) after a maximum of five</w:t>
      </w:r>
      <w:r w:rsidR="000F08FE">
        <w:t xml:space="preserve"> </w:t>
      </w:r>
      <w:r>
        <w:t>years. This will mean</w:t>
      </w:r>
      <w:r w:rsidDel="000F08FE">
        <w:t xml:space="preserve"> </w:t>
      </w:r>
      <w:r>
        <w:t>the relevant Minister must seek new advice during the five-year period from the ACCC on the effectiveness of the threshold to target specific competition risks or certain behaviour before setting a new notification threshold.</w:t>
      </w:r>
    </w:p>
    <w:p w14:paraId="0776B71F" w14:textId="77777777" w:rsidR="00887B5F" w:rsidRDefault="00887B5F" w:rsidP="00BB6496">
      <w:pPr>
        <w:rPr>
          <w:rFonts w:ascii="Calibri" w:hAnsi="Calibri" w:cs="Arial"/>
          <w:color w:val="5D779D" w:themeColor="accent3"/>
          <w:kern w:val="32"/>
          <w:sz w:val="44"/>
          <w:szCs w:val="36"/>
        </w:rPr>
      </w:pPr>
      <w:r>
        <w:br w:type="page"/>
      </w:r>
    </w:p>
    <w:p w14:paraId="7C09580F" w14:textId="55786991" w:rsidR="00156F0D" w:rsidRDefault="00156F0D" w:rsidP="00156F0D">
      <w:pPr>
        <w:pStyle w:val="Heading1"/>
      </w:pPr>
      <w:bookmarkStart w:id="39" w:name="_Toc176443956"/>
      <w:r>
        <w:lastRenderedPageBreak/>
        <w:t>ACCC’s role as an administrative steward of the new system</w:t>
      </w:r>
      <w:bookmarkEnd w:id="39"/>
    </w:p>
    <w:p w14:paraId="52C5B041" w14:textId="6C7AE71E" w:rsidR="00156F0D" w:rsidRPr="00CE0C16" w:rsidRDefault="00156F0D" w:rsidP="00156F0D">
      <w:r>
        <w:t>The ACCC, as administrative decision</w:t>
      </w:r>
      <w:r w:rsidR="000F08FE">
        <w:t>-</w:t>
      </w:r>
      <w:r>
        <w:t xml:space="preserve">maker, will be responsible and accountable for administering the merger control system. The Government has set expectations for the ACCC in delivering the Government’s merger reforms through: </w:t>
      </w:r>
    </w:p>
    <w:p w14:paraId="5DBECEBC" w14:textId="7209D661" w:rsidR="00156F0D" w:rsidRDefault="00F019DB" w:rsidP="00156F0D">
      <w:pPr>
        <w:pStyle w:val="Bullet"/>
      </w:pPr>
      <w:r>
        <w:t>a</w:t>
      </w:r>
      <w:r w:rsidR="00280F6F">
        <w:t xml:space="preserve"> </w:t>
      </w:r>
      <w:r w:rsidR="00156F0D">
        <w:t>risk-based approach with resources prioritised to managing or stopping mergers most likely to harm the community</w:t>
      </w:r>
    </w:p>
    <w:p w14:paraId="7C0DF05D" w14:textId="7F48A185" w:rsidR="00156F0D" w:rsidRDefault="00F019DB" w:rsidP="00156F0D">
      <w:pPr>
        <w:pStyle w:val="Bullet"/>
      </w:pPr>
      <w:r>
        <w:t>m</w:t>
      </w:r>
      <w:r w:rsidR="00280F6F">
        <w:t xml:space="preserve">aking </w:t>
      </w:r>
      <w:r w:rsidR="00156F0D">
        <w:t>use of data and economic analysis to enhance merger review and to identify risks to the community</w:t>
      </w:r>
    </w:p>
    <w:p w14:paraId="675C315E" w14:textId="206973EA" w:rsidR="00156F0D" w:rsidRPr="00B8483D" w:rsidRDefault="00F019DB" w:rsidP="00156F0D">
      <w:pPr>
        <w:pStyle w:val="Bullet"/>
        <w:rPr>
          <w:rStyle w:val="FootnoteReference"/>
          <w:sz w:val="22"/>
        </w:rPr>
      </w:pPr>
      <w:r>
        <w:t>i</w:t>
      </w:r>
      <w:r w:rsidR="00156F0D">
        <w:t>ncreased transparency and guidance to the community on merger activity and areas of ACCC concern to enhance community understanding and administrative predictability.</w:t>
      </w:r>
      <w:r w:rsidR="00156F0D" w:rsidRPr="00975999">
        <w:rPr>
          <w:rStyle w:val="FootnoteReference"/>
          <w:vertAlign w:val="superscript"/>
        </w:rPr>
        <w:footnoteReference w:id="64"/>
      </w:r>
    </w:p>
    <w:p w14:paraId="75FDDE00" w14:textId="35191DD2" w:rsidR="00156F0D" w:rsidRPr="00CE0C16" w:rsidRDefault="00156F0D" w:rsidP="00156F0D">
      <w:pPr>
        <w:pStyle w:val="Bullet"/>
        <w:numPr>
          <w:ilvl w:val="0"/>
          <w:numId w:val="0"/>
        </w:numPr>
      </w:pPr>
      <w:r>
        <w:t xml:space="preserve">An administrative system </w:t>
      </w:r>
      <w:r w:rsidR="00280F6F">
        <w:t xml:space="preserve">will </w:t>
      </w:r>
      <w:r>
        <w:t>shift</w:t>
      </w:r>
      <w:r w:rsidR="0090116A">
        <w:t xml:space="preserve"> </w:t>
      </w:r>
      <w:r>
        <w:t xml:space="preserve">the emphasis to the ACCC </w:t>
      </w:r>
      <w:r w:rsidR="0090116A">
        <w:t xml:space="preserve">to perform the role of </w:t>
      </w:r>
      <w:r>
        <w:t>an administrative steward</w:t>
      </w:r>
      <w:r w:rsidR="00546FF7">
        <w:t>,</w:t>
      </w:r>
      <w:r>
        <w:t xml:space="preserve"> provid</w:t>
      </w:r>
      <w:r w:rsidR="0090116A">
        <w:t>ing</w:t>
      </w:r>
      <w:r>
        <w:t xml:space="preserve"> public guidance and meaningful engagement for merger parties. This will provide more certainty for businesses and enhance community understanding and awareness of mergers. </w:t>
      </w:r>
    </w:p>
    <w:p w14:paraId="4849A2F8" w14:textId="5C734D06" w:rsidR="00156F0D" w:rsidRDefault="00156F0D" w:rsidP="00156F0D">
      <w:pPr>
        <w:pStyle w:val="Heading2"/>
      </w:pPr>
      <w:bookmarkStart w:id="40" w:name="_Toc176443957"/>
      <w:r>
        <w:t>Application of the thresholds will be supported by guidance</w:t>
      </w:r>
      <w:bookmarkEnd w:id="40"/>
    </w:p>
    <w:p w14:paraId="7AD1E451" w14:textId="70863643" w:rsidR="00156F0D" w:rsidRDefault="00156F0D" w:rsidP="00156F0D">
      <w:r>
        <w:t>The ACCC will publish guidance on the process</w:t>
      </w:r>
      <w:r w:rsidR="00FF5545">
        <w:t>es</w:t>
      </w:r>
      <w:r>
        <w:t xml:space="preserve"> and application of the new system, which will enable businesses to transition into the new system with greater certainty and predictability. </w:t>
      </w:r>
    </w:p>
    <w:p w14:paraId="27E9A7AD" w14:textId="734A7D85" w:rsidR="00156F0D" w:rsidRDefault="00156F0D" w:rsidP="00156F0D">
      <w:pPr>
        <w:rPr>
          <w:highlight w:val="yellow"/>
        </w:rPr>
      </w:pPr>
      <w:r>
        <w:t xml:space="preserve">To mitigate uncertainty that may arise, for example, in accurately calculating market shares or determining whether an acquisition is notifiable, businesses will also be able to engage with the ACCC prior to formal notification. </w:t>
      </w:r>
    </w:p>
    <w:p w14:paraId="382A34BF" w14:textId="2ED1ACCE" w:rsidR="00156F0D" w:rsidRPr="009E4441" w:rsidRDefault="00156F0D" w:rsidP="00156F0D">
      <w:pPr>
        <w:rPr>
          <w:b/>
          <w:bCs/>
        </w:rPr>
      </w:pPr>
      <w:r w:rsidRPr="009E4441">
        <w:rPr>
          <w:b/>
          <w:bCs/>
        </w:rPr>
        <w:t>Notification waiver</w:t>
      </w:r>
    </w:p>
    <w:p w14:paraId="3E917077" w14:textId="54FBE5AA" w:rsidR="00FB018A" w:rsidRDefault="19147D6B" w:rsidP="00FB018A">
      <w:r>
        <w:t>To provide certainty to business</w:t>
      </w:r>
      <w:r w:rsidR="00B55022">
        <w:t>es</w:t>
      </w:r>
      <w:r>
        <w:t xml:space="preserve"> and their advisors, the Government is considering establishing a notification waiver process that would allow parties to an acquisition to seek a ‘notification waiver’ from the ACCC</w:t>
      </w:r>
      <w:r w:rsidR="00844BAA">
        <w:t>, including</w:t>
      </w:r>
      <w:r>
        <w:t xml:space="preserve"> </w:t>
      </w:r>
      <w:r w:rsidR="50199739">
        <w:t>if there is uncertainty as to whether the notification threshold</w:t>
      </w:r>
      <w:r w:rsidR="00045F74">
        <w:t>s are</w:t>
      </w:r>
      <w:r w:rsidR="50199739">
        <w:t xml:space="preserve"> met</w:t>
      </w:r>
      <w:r w:rsidR="00844BAA">
        <w:t>.</w:t>
      </w:r>
      <w:r>
        <w:t xml:space="preserve"> </w:t>
      </w:r>
    </w:p>
    <w:p w14:paraId="3E0B780F" w14:textId="6184ABA2" w:rsidR="00FF6FD0" w:rsidRDefault="00BF29B9" w:rsidP="00FB018A">
      <w:r>
        <w:t>T</w:t>
      </w:r>
      <w:r w:rsidR="00FB018A">
        <w:t xml:space="preserve">he ACCC would have the discretion to grant </w:t>
      </w:r>
      <w:r w:rsidR="00D252F0">
        <w:t xml:space="preserve">a </w:t>
      </w:r>
      <w:r w:rsidR="00FB018A">
        <w:t xml:space="preserve">notification waiver that would relieve parties of the </w:t>
      </w:r>
      <w:r w:rsidR="00586832">
        <w:t xml:space="preserve">obligation to notify </w:t>
      </w:r>
      <w:r w:rsidR="00FB018A">
        <w:t>an acquisition.</w:t>
      </w:r>
      <w:r w:rsidR="0042220E">
        <w:t xml:space="preserve"> </w:t>
      </w:r>
      <w:r w:rsidR="00FB018A">
        <w:t xml:space="preserve">The </w:t>
      </w:r>
      <w:r w:rsidR="0042220E">
        <w:t xml:space="preserve">ACCC </w:t>
      </w:r>
      <w:r w:rsidR="006D5110">
        <w:t xml:space="preserve">would </w:t>
      </w:r>
      <w:r w:rsidR="00043166" w:rsidRPr="00043166">
        <w:t xml:space="preserve">consider whether the matter warrants </w:t>
      </w:r>
      <w:r w:rsidR="006D5110">
        <w:t>(</w:t>
      </w:r>
      <w:r w:rsidR="00043166" w:rsidRPr="00043166">
        <w:t>or does not warrant</w:t>
      </w:r>
      <w:r w:rsidR="006D5110">
        <w:t xml:space="preserve">) </w:t>
      </w:r>
      <w:r w:rsidR="00043166" w:rsidRPr="00043166">
        <w:t>notification based on potential competition concerns</w:t>
      </w:r>
      <w:r w:rsidR="00043166" w:rsidRPr="00043166" w:rsidDel="00FB018A">
        <w:t xml:space="preserve"> </w:t>
      </w:r>
      <w:r w:rsidR="00882B1E">
        <w:t>and taking into account</w:t>
      </w:r>
      <w:r w:rsidR="0042220E">
        <w:t xml:space="preserve"> </w:t>
      </w:r>
      <w:r w:rsidR="00FB018A">
        <w:t xml:space="preserve">whether the notification thresholds </w:t>
      </w:r>
      <w:r w:rsidR="00FE46A9">
        <w:t xml:space="preserve">would be </w:t>
      </w:r>
      <w:r w:rsidR="00485A7A">
        <w:t xml:space="preserve">likely </w:t>
      </w:r>
      <w:r w:rsidR="00FE46A9">
        <w:t xml:space="preserve">to be </w:t>
      </w:r>
      <w:r w:rsidR="00FB018A">
        <w:t>met</w:t>
      </w:r>
      <w:r w:rsidR="00043166">
        <w:t>.</w:t>
      </w:r>
      <w:r w:rsidR="00FB018A">
        <w:t xml:space="preserve"> Parties seeking a notification waiver </w:t>
      </w:r>
      <w:r w:rsidR="0064432C">
        <w:t xml:space="preserve">would be required to </w:t>
      </w:r>
      <w:r w:rsidR="00FB018A">
        <w:t xml:space="preserve">provide the ACCC with sufficient information to enable it to form a view about whether criteria to grant a notification waiver </w:t>
      </w:r>
      <w:r w:rsidR="0064432C">
        <w:t xml:space="preserve">are </w:t>
      </w:r>
      <w:r w:rsidR="00FB018A">
        <w:t xml:space="preserve">met. </w:t>
      </w:r>
    </w:p>
    <w:p w14:paraId="39F5DA60" w14:textId="7FF3029F" w:rsidR="00FB018A" w:rsidRDefault="00FB018A" w:rsidP="00FB018A">
      <w:r>
        <w:t>Granting a notification waiver would be binding on the ACCC</w:t>
      </w:r>
      <w:r w:rsidR="00E61CEE">
        <w:t xml:space="preserve"> (unless granted based on false or misleading information)</w:t>
      </w:r>
      <w:r>
        <w:t xml:space="preserve">, in that the ACCC would not be able to subsequently bring proceedings for failure to notify or </w:t>
      </w:r>
      <w:r w:rsidR="00FF6FD0">
        <w:t xml:space="preserve">for </w:t>
      </w:r>
      <w:r>
        <w:t>failure to adhere to the suspensory obligation. The notification waiver would also have the legal effect of excluding the relevant acquisition from the penalties associated with these obligations</w:t>
      </w:r>
      <w:r w:rsidR="004914B9">
        <w:t xml:space="preserve"> (including voiding)</w:t>
      </w:r>
      <w:r>
        <w:t xml:space="preserve">. This </w:t>
      </w:r>
      <w:r w:rsidR="00FF6FD0">
        <w:t xml:space="preserve">would </w:t>
      </w:r>
      <w:r>
        <w:t xml:space="preserve">provide </w:t>
      </w:r>
      <w:r w:rsidR="00CB43FA">
        <w:t xml:space="preserve">merger </w:t>
      </w:r>
      <w:r>
        <w:t xml:space="preserve">parties with certainty. </w:t>
      </w:r>
    </w:p>
    <w:p w14:paraId="27C7589D" w14:textId="5C79957A" w:rsidR="00FB018A" w:rsidRPr="00A35FC0" w:rsidRDefault="00FF6FD0" w:rsidP="00FB018A">
      <w:r>
        <w:lastRenderedPageBreak/>
        <w:t xml:space="preserve">However, a </w:t>
      </w:r>
      <w:r w:rsidR="00FB018A">
        <w:t xml:space="preserve">notification waiver would not provide merger parties with the benefits of notification, including the protections conferred by the anti-overlap provisions. For this reason, if it </w:t>
      </w:r>
      <w:r w:rsidR="00FC503D">
        <w:t xml:space="preserve">were to </w:t>
      </w:r>
      <w:r w:rsidR="00FB018A">
        <w:t>subsequently emerge that the acquisition may have been for an anti-competitive purpose or</w:t>
      </w:r>
      <w:r w:rsidR="00471FAE">
        <w:t xml:space="preserve"> had an anti-competitive</w:t>
      </w:r>
      <w:r w:rsidR="00FB018A">
        <w:t xml:space="preserve"> effect</w:t>
      </w:r>
      <w:r w:rsidR="00DA4222">
        <w:t>,</w:t>
      </w:r>
      <w:r w:rsidR="00FB018A">
        <w:t xml:space="preserve"> it could be the subject of investigation and </w:t>
      </w:r>
      <w:r w:rsidR="00FB018A" w:rsidRPr="00A35FC0">
        <w:t>action by the ACCC under Part IV of the CCA.</w:t>
      </w:r>
      <w:r w:rsidR="00CB43FA" w:rsidRPr="00A35FC0">
        <w:t xml:space="preserve"> </w:t>
      </w:r>
    </w:p>
    <w:p w14:paraId="78A05606" w14:textId="77777777" w:rsidR="008D23A6" w:rsidRDefault="00FB018A" w:rsidP="005D0B0C">
      <w:r w:rsidRPr="00A35FC0">
        <w:t xml:space="preserve">The ACCC would have 30 business days to provide a notification waiver following receipt of a complete application. </w:t>
      </w:r>
      <w:r w:rsidR="00E26672" w:rsidRPr="00A35FC0">
        <w:t xml:space="preserve">Apart from </w:t>
      </w:r>
      <w:r w:rsidR="000D0A48" w:rsidRPr="00A35FC0">
        <w:t>a</w:t>
      </w:r>
      <w:r w:rsidR="00E26672" w:rsidRPr="00A35FC0">
        <w:t xml:space="preserve"> limited exception for </w:t>
      </w:r>
      <w:r w:rsidR="000D0A48" w:rsidRPr="00A35FC0">
        <w:t>unconditional on-market bid</w:t>
      </w:r>
      <w:r w:rsidR="00913105" w:rsidRPr="00A35FC0">
        <w:t xml:space="preserve"> proposals</w:t>
      </w:r>
      <w:r w:rsidR="000D0A48" w:rsidRPr="00A35FC0">
        <w:t xml:space="preserve">, </w:t>
      </w:r>
      <w:r w:rsidRPr="00A35FC0">
        <w:t>application</w:t>
      </w:r>
      <w:r w:rsidR="002C1404">
        <w:t>s</w:t>
      </w:r>
      <w:r w:rsidRPr="00A35FC0">
        <w:t xml:space="preserve"> for a notification</w:t>
      </w:r>
      <w:r>
        <w:t xml:space="preserve"> waiver would be required to be</w:t>
      </w:r>
      <w:r w:rsidR="001718FA">
        <w:t xml:space="preserve"> listed</w:t>
      </w:r>
      <w:r>
        <w:t xml:space="preserve"> on the ACCC’s public register and any notification waiver decision would be published with </w:t>
      </w:r>
      <w:r w:rsidR="00ED7F3B">
        <w:t xml:space="preserve">an explanation </w:t>
      </w:r>
      <w:r w:rsidR="002C1404">
        <w:t xml:space="preserve">of the reasons </w:t>
      </w:r>
      <w:r w:rsidR="00ED7F3B">
        <w:t>for the waiver</w:t>
      </w:r>
      <w:r w:rsidR="34E2F22E">
        <w:t>, consistent with the approach for notified mergers</w:t>
      </w:r>
      <w:r>
        <w:t xml:space="preserve">. </w:t>
      </w:r>
      <w:r w:rsidR="1F9C390A">
        <w:t>A cost-recovery fee</w:t>
      </w:r>
      <w:r w:rsidR="277AF0BA">
        <w:t xml:space="preserve"> will also be payable.</w:t>
      </w:r>
    </w:p>
    <w:p w14:paraId="118DB49E" w14:textId="39B95FB0" w:rsidR="009904AB" w:rsidRDefault="00A44939" w:rsidP="005D0B0C">
      <w:r w:rsidRPr="00A35FC0">
        <w:t xml:space="preserve">Review </w:t>
      </w:r>
      <w:r w:rsidR="001A5CF5">
        <w:t xml:space="preserve">by the Australian Competition Tribunal </w:t>
      </w:r>
      <w:r w:rsidRPr="00A35FC0">
        <w:t xml:space="preserve">would be available if the ACCC refused or </w:t>
      </w:r>
      <w:r w:rsidRPr="00A66890">
        <w:t>failed</w:t>
      </w:r>
      <w:r w:rsidRPr="00A35FC0">
        <w:t xml:space="preserve"> to grant a </w:t>
      </w:r>
      <w:r w:rsidR="00B419CD">
        <w:t xml:space="preserve">notification </w:t>
      </w:r>
      <w:r w:rsidRPr="00A35FC0">
        <w:t>waiver within 30 business days</w:t>
      </w:r>
      <w:r w:rsidRPr="00383946">
        <w:t>.</w:t>
      </w:r>
      <w:r w:rsidDel="000E2756">
        <w:t xml:space="preserve"> </w:t>
      </w:r>
      <w:r w:rsidR="00C67FB2">
        <w:t xml:space="preserve">Non-merger </w:t>
      </w:r>
      <w:r w:rsidR="00FB018A">
        <w:t xml:space="preserve">parties with </w:t>
      </w:r>
      <w:r w:rsidR="00447304">
        <w:t xml:space="preserve">a </w:t>
      </w:r>
      <w:r w:rsidR="00447304" w:rsidRPr="00383946">
        <w:t>sufficient</w:t>
      </w:r>
      <w:r w:rsidR="00447304">
        <w:t xml:space="preserve"> </w:t>
      </w:r>
      <w:r w:rsidR="00FB018A">
        <w:t>interest in the acquisition</w:t>
      </w:r>
      <w:r w:rsidR="00C67FB2">
        <w:t xml:space="preserve"> would also be able to seek review</w:t>
      </w:r>
      <w:r w:rsidR="00FB018A">
        <w:t xml:space="preserve">. </w:t>
      </w:r>
      <w:r w:rsidR="00F00634" w:rsidRPr="00383946">
        <w:t>The</w:t>
      </w:r>
      <w:r w:rsidR="001A5CF5">
        <w:t xml:space="preserve"> availability of judicial review of </w:t>
      </w:r>
      <w:r w:rsidR="001A5CF5" w:rsidRPr="00383946">
        <w:t>decisions</w:t>
      </w:r>
      <w:r w:rsidR="00383946" w:rsidRPr="00383946">
        <w:t xml:space="preserve"> to refuse or fail to grant a </w:t>
      </w:r>
      <w:r w:rsidR="001A5CF5" w:rsidRPr="00383946">
        <w:t xml:space="preserve">waiver </w:t>
      </w:r>
      <w:r w:rsidR="002E2ECA">
        <w:t>would be limited</w:t>
      </w:r>
      <w:r w:rsidR="00F00634">
        <w:t>,</w:t>
      </w:r>
      <w:r w:rsidR="002E2ECA">
        <w:t xml:space="preserve"> </w:t>
      </w:r>
      <w:r w:rsidR="00FA3582">
        <w:t xml:space="preserve">recognising the availability </w:t>
      </w:r>
      <w:r w:rsidR="00C00328">
        <w:t xml:space="preserve">of review </w:t>
      </w:r>
      <w:r w:rsidR="00FB4A53">
        <w:t xml:space="preserve">by </w:t>
      </w:r>
      <w:r w:rsidR="00C00328">
        <w:t>the Tribunal</w:t>
      </w:r>
      <w:r w:rsidR="001B39E5">
        <w:t>.</w:t>
      </w:r>
      <w:r w:rsidR="00C00328">
        <w:t xml:space="preserve"> </w:t>
      </w:r>
    </w:p>
    <w:p w14:paraId="18AB50B7" w14:textId="31A7F522" w:rsidR="00156F0D" w:rsidRDefault="00943262" w:rsidP="00156F0D">
      <w:r>
        <w:t xml:space="preserve">The </w:t>
      </w:r>
      <w:r w:rsidR="005B3DCD">
        <w:t>availability</w:t>
      </w:r>
      <w:r w:rsidR="00296347">
        <w:t xml:space="preserve"> of the</w:t>
      </w:r>
      <w:r>
        <w:t xml:space="preserve"> notification waiver </w:t>
      </w:r>
      <w:r w:rsidR="00296347">
        <w:t>process</w:t>
      </w:r>
      <w:r>
        <w:t xml:space="preserve"> would not preclude </w:t>
      </w:r>
      <w:r w:rsidR="00913ADF">
        <w:t>businesses voluntarily notifying acquisitions</w:t>
      </w:r>
      <w:r w:rsidR="0057186F">
        <w:t xml:space="preserve">, including to receive </w:t>
      </w:r>
      <w:r w:rsidR="00095A65">
        <w:t xml:space="preserve">a </w:t>
      </w:r>
      <w:r w:rsidR="00373685">
        <w:t xml:space="preserve">‘fast-track’ </w:t>
      </w:r>
      <w:r w:rsidR="00504987">
        <w:t xml:space="preserve">Phase 1 </w:t>
      </w:r>
      <w:r w:rsidR="00373685">
        <w:t>determination within 1</w:t>
      </w:r>
      <w:r w:rsidR="00504987">
        <w:t xml:space="preserve">5 business days </w:t>
      </w:r>
      <w:r w:rsidR="008403B2">
        <w:t>of notification</w:t>
      </w:r>
      <w:r w:rsidR="002D201A">
        <w:t>.</w:t>
      </w:r>
    </w:p>
    <w:tbl>
      <w:tblPr>
        <w:tblStyle w:val="TableGrid"/>
        <w:tblW w:w="0" w:type="auto"/>
        <w:tblLook w:val="0400" w:firstRow="0" w:lastRow="0" w:firstColumn="0" w:lastColumn="0" w:noHBand="0" w:noVBand="1"/>
      </w:tblPr>
      <w:tblGrid>
        <w:gridCol w:w="9072"/>
      </w:tblGrid>
      <w:tr w:rsidR="00156F0D" w:rsidRPr="000E0E76" w14:paraId="553CE374" w14:textId="77777777">
        <w:tc>
          <w:tcPr>
            <w:tcW w:w="9072" w:type="dxa"/>
            <w:shd w:val="clear" w:color="auto" w:fill="E8F0FC" w:themeFill="accent5" w:themeFillTint="33"/>
          </w:tcPr>
          <w:p w14:paraId="761E999B" w14:textId="77777777" w:rsidR="00156F0D" w:rsidRPr="00821884" w:rsidRDefault="00156F0D">
            <w:pPr>
              <w:rPr>
                <w:b/>
                <w:bCs/>
                <w:color w:val="2C384A" w:themeColor="accent1"/>
                <w:sz w:val="22"/>
                <w:szCs w:val="22"/>
              </w:rPr>
            </w:pPr>
            <w:r w:rsidRPr="00821884">
              <w:rPr>
                <w:b/>
                <w:bCs/>
                <w:sz w:val="22"/>
                <w:szCs w:val="22"/>
              </w:rPr>
              <w:t>Questions</w:t>
            </w:r>
          </w:p>
          <w:p w14:paraId="0B7D7FA0" w14:textId="77777777" w:rsidR="00156F0D" w:rsidRPr="00821884" w:rsidRDefault="00156F0D">
            <w:pPr>
              <w:pStyle w:val="OutlineNumbered1"/>
              <w:rPr>
                <w:sz w:val="22"/>
                <w:szCs w:val="22"/>
              </w:rPr>
            </w:pPr>
            <w:r w:rsidRPr="00821884">
              <w:rPr>
                <w:sz w:val="22"/>
                <w:szCs w:val="22"/>
              </w:rPr>
              <w:t>What guidance would be helpful from the ACCC? Are there particular sources of data or methodologies that would assist the ACCC in its role as administrative steward of the new merger system and in providing more certainty to businesses when engaging with the system?</w:t>
            </w:r>
          </w:p>
          <w:p w14:paraId="66044160" w14:textId="77777777" w:rsidR="00BB708C" w:rsidRDefault="00156F0D" w:rsidP="00BB708C">
            <w:pPr>
              <w:pStyle w:val="OutlineNumbered1"/>
              <w:rPr>
                <w:sz w:val="22"/>
                <w:szCs w:val="22"/>
              </w:rPr>
            </w:pPr>
            <w:r w:rsidRPr="005501D2">
              <w:rPr>
                <w:sz w:val="22"/>
                <w:szCs w:val="22"/>
              </w:rPr>
              <w:t>How can the Government improve the certainty of the application of market concentration thresholds? Will the proposed approach address potential concerns regarding uncertainty?</w:t>
            </w:r>
            <w:r w:rsidR="00BB708C" w:rsidRPr="001251E5">
              <w:rPr>
                <w:sz w:val="22"/>
                <w:szCs w:val="22"/>
              </w:rPr>
              <w:t xml:space="preserve"> </w:t>
            </w:r>
          </w:p>
          <w:p w14:paraId="217626DB" w14:textId="089E9D0E" w:rsidR="00BB708C" w:rsidRDefault="00BB708C" w:rsidP="00BB708C">
            <w:pPr>
              <w:pStyle w:val="OutlineNumbered1"/>
              <w:rPr>
                <w:sz w:val="22"/>
                <w:szCs w:val="22"/>
              </w:rPr>
            </w:pPr>
            <w:r w:rsidRPr="001251E5">
              <w:rPr>
                <w:sz w:val="22"/>
                <w:szCs w:val="22"/>
              </w:rPr>
              <w:t xml:space="preserve">Will the availability of an ACCC </w:t>
            </w:r>
            <w:r w:rsidR="00755D48">
              <w:rPr>
                <w:sz w:val="22"/>
                <w:szCs w:val="22"/>
              </w:rPr>
              <w:t xml:space="preserve">notification </w:t>
            </w:r>
            <w:r w:rsidRPr="001251E5">
              <w:rPr>
                <w:sz w:val="22"/>
                <w:szCs w:val="22"/>
              </w:rPr>
              <w:t>waiver</w:t>
            </w:r>
            <w:r w:rsidR="003A6395">
              <w:rPr>
                <w:sz w:val="22"/>
                <w:szCs w:val="22"/>
              </w:rPr>
              <w:t>,</w:t>
            </w:r>
            <w:r w:rsidR="00EE2EF7">
              <w:rPr>
                <w:sz w:val="22"/>
                <w:szCs w:val="22"/>
              </w:rPr>
              <w:t xml:space="preserve"> if there is uncertainty as to whether the notification threshold</w:t>
            </w:r>
            <w:r w:rsidR="009823F1">
              <w:rPr>
                <w:sz w:val="22"/>
                <w:szCs w:val="22"/>
              </w:rPr>
              <w:t>s</w:t>
            </w:r>
            <w:r w:rsidR="00EE2EF7">
              <w:rPr>
                <w:sz w:val="22"/>
                <w:szCs w:val="22"/>
              </w:rPr>
              <w:t xml:space="preserve"> </w:t>
            </w:r>
            <w:r w:rsidR="009823F1">
              <w:rPr>
                <w:sz w:val="22"/>
                <w:szCs w:val="22"/>
              </w:rPr>
              <w:t>are</w:t>
            </w:r>
            <w:r w:rsidR="000F023E">
              <w:rPr>
                <w:sz w:val="22"/>
                <w:szCs w:val="22"/>
              </w:rPr>
              <w:t xml:space="preserve"> </w:t>
            </w:r>
            <w:r w:rsidR="00EE2EF7">
              <w:rPr>
                <w:sz w:val="22"/>
                <w:szCs w:val="22"/>
              </w:rPr>
              <w:t>met</w:t>
            </w:r>
            <w:r w:rsidR="003A6395">
              <w:rPr>
                <w:sz w:val="22"/>
                <w:szCs w:val="22"/>
              </w:rPr>
              <w:t>,</w:t>
            </w:r>
            <w:r w:rsidRPr="001251E5">
              <w:rPr>
                <w:sz w:val="22"/>
                <w:szCs w:val="22"/>
              </w:rPr>
              <w:t xml:space="preserve"> appropriately address the need for business certainty about compliance with notification obligations? </w:t>
            </w:r>
            <w:r w:rsidR="008075BF">
              <w:rPr>
                <w:sz w:val="22"/>
                <w:szCs w:val="22"/>
              </w:rPr>
              <w:t>Should the avail</w:t>
            </w:r>
            <w:r w:rsidR="00EE7695">
              <w:rPr>
                <w:sz w:val="22"/>
                <w:szCs w:val="22"/>
              </w:rPr>
              <w:t xml:space="preserve">ability of the notification </w:t>
            </w:r>
            <w:r w:rsidR="008075BF">
              <w:rPr>
                <w:sz w:val="22"/>
                <w:szCs w:val="22"/>
              </w:rPr>
              <w:t>waiver</w:t>
            </w:r>
            <w:r w:rsidR="00EE7695">
              <w:rPr>
                <w:sz w:val="22"/>
                <w:szCs w:val="22"/>
              </w:rPr>
              <w:t xml:space="preserve"> be broader</w:t>
            </w:r>
            <w:r w:rsidR="00F877D3">
              <w:rPr>
                <w:sz w:val="22"/>
                <w:szCs w:val="22"/>
              </w:rPr>
              <w:t xml:space="preserve"> than proposed</w:t>
            </w:r>
            <w:r w:rsidR="00552224">
              <w:rPr>
                <w:sz w:val="22"/>
                <w:szCs w:val="22"/>
              </w:rPr>
              <w:t>?</w:t>
            </w:r>
          </w:p>
          <w:p w14:paraId="4CBD61B8" w14:textId="10B49463" w:rsidR="00BB708C" w:rsidRPr="001251E5" w:rsidRDefault="005E533E" w:rsidP="00BB708C">
            <w:pPr>
              <w:pStyle w:val="OutlineNumbered1"/>
              <w:rPr>
                <w:sz w:val="22"/>
                <w:szCs w:val="22"/>
              </w:rPr>
            </w:pPr>
            <w:r w:rsidRPr="005E533E">
              <w:rPr>
                <w:sz w:val="22"/>
                <w:szCs w:val="22"/>
              </w:rPr>
              <w:t>Does the level of transparency</w:t>
            </w:r>
            <w:r w:rsidR="00374AAC">
              <w:rPr>
                <w:sz w:val="22"/>
                <w:szCs w:val="22"/>
              </w:rPr>
              <w:t xml:space="preserve"> of the </w:t>
            </w:r>
            <w:r w:rsidR="00711645">
              <w:rPr>
                <w:sz w:val="22"/>
                <w:szCs w:val="22"/>
              </w:rPr>
              <w:t xml:space="preserve">ACCC </w:t>
            </w:r>
            <w:r w:rsidR="00374AAC">
              <w:rPr>
                <w:sz w:val="22"/>
                <w:szCs w:val="22"/>
              </w:rPr>
              <w:t>notification waiver process</w:t>
            </w:r>
            <w:r w:rsidRPr="005E533E">
              <w:rPr>
                <w:sz w:val="22"/>
                <w:szCs w:val="22"/>
              </w:rPr>
              <w:t xml:space="preserve"> appropriately meet the interests of all relevant stakeholders?</w:t>
            </w:r>
          </w:p>
          <w:p w14:paraId="6895C895" w14:textId="3654A92D" w:rsidR="00156F0D" w:rsidRPr="00BB708C" w:rsidRDefault="00BB708C" w:rsidP="00BB708C">
            <w:pPr>
              <w:pStyle w:val="OutlineNumbered1"/>
              <w:rPr>
                <w:sz w:val="22"/>
                <w:szCs w:val="22"/>
              </w:rPr>
            </w:pPr>
            <w:r w:rsidRPr="001251E5">
              <w:rPr>
                <w:sz w:val="22"/>
                <w:szCs w:val="22"/>
              </w:rPr>
              <w:t>Will the process adequately provide third parties with an interest in an acquisition with rights to review a waiver decision?</w:t>
            </w:r>
          </w:p>
        </w:tc>
      </w:tr>
    </w:tbl>
    <w:p w14:paraId="31FFF299" w14:textId="77777777" w:rsidR="006A7907" w:rsidRDefault="006A7907" w:rsidP="00156F0D">
      <w:pPr>
        <w:sectPr w:rsidR="006A7907" w:rsidSect="00295B30">
          <w:headerReference w:type="even" r:id="rId37"/>
          <w:headerReference w:type="default" r:id="rId38"/>
          <w:footerReference w:type="even" r:id="rId39"/>
          <w:footerReference w:type="default" r:id="rId40"/>
          <w:headerReference w:type="first" r:id="rId41"/>
          <w:footerReference w:type="first" r:id="rId42"/>
          <w:pgSz w:w="11906" w:h="16838" w:code="9"/>
          <w:pgMar w:top="1843" w:right="1417" w:bottom="1417" w:left="1417" w:header="709" w:footer="709" w:gutter="0"/>
          <w:cols w:space="708"/>
          <w:docGrid w:linePitch="360"/>
        </w:sectPr>
      </w:pPr>
    </w:p>
    <w:p w14:paraId="5BCB165D" w14:textId="62E64855" w:rsidR="003C2F3B" w:rsidRDefault="006A7907" w:rsidP="00CF1FEB">
      <w:pPr>
        <w:pStyle w:val="Heading1"/>
      </w:pPr>
      <w:bookmarkStart w:id="41" w:name="_Toc176443958"/>
      <w:r>
        <w:lastRenderedPageBreak/>
        <w:t>A</w:t>
      </w:r>
      <w:r w:rsidR="007B6C61">
        <w:t>ttachment A</w:t>
      </w:r>
      <w:r>
        <w:t xml:space="preserve"> – </w:t>
      </w:r>
      <w:r w:rsidR="00333988">
        <w:t>M</w:t>
      </w:r>
      <w:r w:rsidR="0041517E">
        <w:t xml:space="preserve">ethodology and </w:t>
      </w:r>
      <w:r w:rsidR="00023632">
        <w:t xml:space="preserve">data to </w:t>
      </w:r>
      <w:r w:rsidR="006C0519">
        <w:t>e</w:t>
      </w:r>
      <w:r w:rsidR="006C0519" w:rsidRPr="006C0519">
        <w:t>stimat</w:t>
      </w:r>
      <w:r w:rsidR="00023632">
        <w:t>e</w:t>
      </w:r>
      <w:r w:rsidR="006C0519" w:rsidRPr="006C0519">
        <w:t xml:space="preserve"> the number of acquisitions captured</w:t>
      </w:r>
      <w:bookmarkEnd w:id="41"/>
    </w:p>
    <w:p w14:paraId="18683C57" w14:textId="37E833F2" w:rsidR="00DA710F" w:rsidRDefault="00347D18" w:rsidP="00BB78C0">
      <w:pPr>
        <w:pStyle w:val="Heading2"/>
      </w:pPr>
      <w:bookmarkStart w:id="42" w:name="_Toc176443959"/>
      <w:bookmarkStart w:id="43" w:name="_Toc171087325"/>
      <w:bookmarkStart w:id="44" w:name="_Toc171509001"/>
      <w:bookmarkStart w:id="45" w:name="_Toc171585470"/>
      <w:bookmarkStart w:id="46" w:name="_Toc171617546"/>
      <w:bookmarkStart w:id="47" w:name="_Toc171669777"/>
      <w:r>
        <w:t>Methodology</w:t>
      </w:r>
      <w:bookmarkEnd w:id="42"/>
      <w:r>
        <w:t xml:space="preserve"> </w:t>
      </w:r>
      <w:bookmarkStart w:id="48" w:name="_Hlk174351699"/>
      <w:bookmarkEnd w:id="43"/>
      <w:bookmarkEnd w:id="44"/>
      <w:bookmarkEnd w:id="45"/>
      <w:bookmarkEnd w:id="46"/>
      <w:bookmarkEnd w:id="47"/>
    </w:p>
    <w:bookmarkEnd w:id="48"/>
    <w:p w14:paraId="47D0910A" w14:textId="6834F0FD" w:rsidR="22D2DE25" w:rsidRPr="00177078" w:rsidRDefault="22D2DE25">
      <w:r w:rsidRPr="00177078">
        <w:t xml:space="preserve">The </w:t>
      </w:r>
      <w:r w:rsidR="496EC3A8" w:rsidRPr="00177078">
        <w:t>proposed</w:t>
      </w:r>
      <w:r w:rsidRPr="00177078">
        <w:t xml:space="preserve"> monetary thresholds were set </w:t>
      </w:r>
      <w:r w:rsidR="028FF1E7" w:rsidRPr="00177078">
        <w:t xml:space="preserve">to strike a balance between capturing </w:t>
      </w:r>
      <w:r w:rsidR="661C6C7F" w:rsidRPr="00177078">
        <w:t xml:space="preserve">as many </w:t>
      </w:r>
      <w:r w:rsidR="028FF1E7" w:rsidRPr="00177078">
        <w:t xml:space="preserve">acquisitions </w:t>
      </w:r>
      <w:r w:rsidR="0038723E">
        <w:t xml:space="preserve">of concern </w:t>
      </w:r>
      <w:r w:rsidR="38EE268F" w:rsidRPr="00177078">
        <w:t xml:space="preserve">as possible </w:t>
      </w:r>
      <w:r w:rsidR="009D37C6" w:rsidRPr="00177078">
        <w:t>while</w:t>
      </w:r>
      <w:r w:rsidR="38EE268F" w:rsidRPr="00177078">
        <w:t xml:space="preserve"> </w:t>
      </w:r>
      <w:r w:rsidR="00774EF5" w:rsidRPr="00177078">
        <w:t>keeping compliance costs low for business</w:t>
      </w:r>
      <w:r w:rsidR="38EE268F" w:rsidRPr="00177078">
        <w:t xml:space="preserve">. ACCC data on past acquisitions of concern was </w:t>
      </w:r>
      <w:r w:rsidR="4DAB7364" w:rsidRPr="00177078">
        <w:t xml:space="preserve">used to </w:t>
      </w:r>
      <w:r w:rsidR="38EE268F" w:rsidRPr="00177078">
        <w:t xml:space="preserve">assess </w:t>
      </w:r>
      <w:r w:rsidR="00CC2D5D" w:rsidRPr="00177078">
        <w:t xml:space="preserve">the </w:t>
      </w:r>
      <w:r w:rsidR="13B8693E" w:rsidRPr="00177078">
        <w:t xml:space="preserve">share of these acquisitions </w:t>
      </w:r>
      <w:r w:rsidR="008B6CBA" w:rsidRPr="00177078">
        <w:t xml:space="preserve">of concern that would be </w:t>
      </w:r>
      <w:r w:rsidR="38EE268F" w:rsidRPr="00177078">
        <w:t>captured</w:t>
      </w:r>
      <w:r w:rsidR="008B6CBA" w:rsidRPr="00177078">
        <w:t xml:space="preserve"> by the propo</w:t>
      </w:r>
      <w:r w:rsidR="000E2D93" w:rsidRPr="00177078">
        <w:t>s</w:t>
      </w:r>
      <w:r w:rsidR="008B6CBA" w:rsidRPr="00177078">
        <w:t>ed thresholds</w:t>
      </w:r>
      <w:r w:rsidR="00C537B4" w:rsidRPr="00177078">
        <w:t>, while a</w:t>
      </w:r>
      <w:r w:rsidR="6D05C6F8" w:rsidRPr="00177078">
        <w:t xml:space="preserve"> combination of </w:t>
      </w:r>
      <w:r w:rsidR="3D6B7847" w:rsidRPr="00177078">
        <w:t xml:space="preserve">past </w:t>
      </w:r>
      <w:r w:rsidR="6D05C6F8" w:rsidRPr="00177078">
        <w:t xml:space="preserve">ACCC data </w:t>
      </w:r>
      <w:r w:rsidR="6D8944D1" w:rsidRPr="00177078">
        <w:t>and commercial databases</w:t>
      </w:r>
      <w:r w:rsidR="6D05C6F8" w:rsidRPr="00177078">
        <w:t xml:space="preserve"> w</w:t>
      </w:r>
      <w:r w:rsidR="006C213D">
        <w:t>ere</w:t>
      </w:r>
      <w:r w:rsidR="6D05C6F8" w:rsidRPr="00177078">
        <w:t xml:space="preserve"> used to estimate the number of </w:t>
      </w:r>
      <w:r w:rsidR="000A55AD" w:rsidRPr="00177078">
        <w:t xml:space="preserve">projected </w:t>
      </w:r>
      <w:r w:rsidR="6D05C6F8" w:rsidRPr="00177078">
        <w:t>notifications.</w:t>
      </w:r>
      <w:r w:rsidR="0FB9033E" w:rsidRPr="00177078">
        <w:t xml:space="preserve"> Thresholds</w:t>
      </w:r>
      <w:r w:rsidR="7F2A91E3" w:rsidRPr="00177078">
        <w:t xml:space="preserve"> were</w:t>
      </w:r>
      <w:r w:rsidR="0FB9033E" w:rsidRPr="00177078">
        <w:t xml:space="preserve"> </w:t>
      </w:r>
      <w:r w:rsidR="00FD5FE5" w:rsidRPr="00177078">
        <w:t>also</w:t>
      </w:r>
      <w:r w:rsidR="7F2A91E3" w:rsidRPr="00177078">
        <w:t xml:space="preserve"> chosen</w:t>
      </w:r>
      <w:r w:rsidR="0FB9033E" w:rsidRPr="00177078">
        <w:t xml:space="preserve"> to maximise the share of </w:t>
      </w:r>
      <w:r w:rsidR="00B05321" w:rsidRPr="00177078">
        <w:t>acquisitions of concerns that are</w:t>
      </w:r>
      <w:r w:rsidR="0FB9033E" w:rsidRPr="00177078">
        <w:t xml:space="preserve"> captured by monetary </w:t>
      </w:r>
      <w:r w:rsidR="003407A3" w:rsidRPr="00177078">
        <w:t>thresholds</w:t>
      </w:r>
      <w:r w:rsidR="0FB9033E" w:rsidRPr="00177078">
        <w:t xml:space="preserve"> rather th</w:t>
      </w:r>
      <w:r w:rsidR="7C2692DA" w:rsidRPr="00177078">
        <w:t>a</w:t>
      </w:r>
      <w:r w:rsidR="0FB9033E" w:rsidRPr="00177078">
        <w:t xml:space="preserve">n market </w:t>
      </w:r>
      <w:r w:rsidR="003407A3" w:rsidRPr="00177078">
        <w:t xml:space="preserve">concentration </w:t>
      </w:r>
      <w:r w:rsidR="00374BDE" w:rsidRPr="00177078">
        <w:t>thresholds</w:t>
      </w:r>
      <w:r w:rsidR="1F00993C" w:rsidRPr="00177078">
        <w:t>.</w:t>
      </w:r>
      <w:r w:rsidR="0B5D0FE1" w:rsidRPr="00177078">
        <w:t xml:space="preserve"> </w:t>
      </w:r>
    </w:p>
    <w:p w14:paraId="3EF41182" w14:textId="0054111F" w:rsidR="008A566D" w:rsidRDefault="00AB7EDC" w:rsidP="008A566D">
      <w:r>
        <w:t xml:space="preserve">The </w:t>
      </w:r>
      <w:r w:rsidR="008A566D">
        <w:t xml:space="preserve">ACCC </w:t>
      </w:r>
      <w:r>
        <w:t xml:space="preserve">data is based on its </w:t>
      </w:r>
      <w:r w:rsidR="008A566D">
        <w:t>public merger review</w:t>
      </w:r>
      <w:r>
        <w:t>s in recent years</w:t>
      </w:r>
      <w:r w:rsidR="008A566D">
        <w:t xml:space="preserve">, which includes 166 acquisitions that went through public review by the ACCC between 2018 and 2024, 83 of which were acquisitions of concern. Acquisitions of concern are those that were opposed by the ACCC, had a red or amber light statement of issues, were not opposed subject to a s87B undertaking, were withdrawn, or </w:t>
      </w:r>
      <w:r w:rsidR="008A039B">
        <w:t xml:space="preserve">were </w:t>
      </w:r>
      <w:r w:rsidR="008A566D">
        <w:t>subject to formal merger authorisation.</w:t>
      </w:r>
    </w:p>
    <w:p w14:paraId="345089B6" w14:textId="77777777" w:rsidR="008A566D" w:rsidRDefault="008A566D" w:rsidP="008A566D">
      <w:r>
        <w:t>For the majority of transactions, the ACCC public merger review data contains acquirer and target turnover and transaction value, with some transactions having data on the merger parties’ market share data. These metrics are all used as part of Treasury’s proposed monetary and market concentration thresholds, allowing Treasury to apply the proposed thresholds to each transaction to determine whether the transaction would have had to be notified.</w:t>
      </w:r>
    </w:p>
    <w:p w14:paraId="60E8726B" w14:textId="3F0AB5B9" w:rsidR="002B30F4" w:rsidRDefault="3E8D4293" w:rsidP="00DA710F">
      <w:r>
        <w:t xml:space="preserve">Estimating </w:t>
      </w:r>
      <w:r w:rsidR="00A95217">
        <w:t>the</w:t>
      </w:r>
      <w:r>
        <w:t xml:space="preserve"> projected annual num</w:t>
      </w:r>
      <w:r w:rsidR="00A926BD">
        <w:t>b</w:t>
      </w:r>
      <w:r>
        <w:t>er of notificatio</w:t>
      </w:r>
      <w:r w:rsidRPr="0039141E">
        <w:t>ns</w:t>
      </w:r>
      <w:r w:rsidR="005B3C73" w:rsidRPr="0039141E">
        <w:t xml:space="preserve"> </w:t>
      </w:r>
      <w:r w:rsidR="00504501" w:rsidRPr="0039141E">
        <w:t>(</w:t>
      </w:r>
      <w:r w:rsidR="0066292E">
        <w:t>3</w:t>
      </w:r>
      <w:r w:rsidR="00A45D06">
        <w:t>0</w:t>
      </w:r>
      <w:r w:rsidR="0066292E">
        <w:t>0</w:t>
      </w:r>
      <w:r w:rsidR="00504501" w:rsidRPr="00BE7ED3">
        <w:t xml:space="preserve"> to </w:t>
      </w:r>
      <w:r w:rsidR="0066292E">
        <w:t>5</w:t>
      </w:r>
      <w:r w:rsidR="00A45D06">
        <w:t>0</w:t>
      </w:r>
      <w:r w:rsidR="0066292E">
        <w:t>0</w:t>
      </w:r>
      <w:r w:rsidR="00504501" w:rsidRPr="00BE7ED3">
        <w:t xml:space="preserve"> per year</w:t>
      </w:r>
      <w:r w:rsidR="00504501" w:rsidRPr="0039141E">
        <w:t xml:space="preserve">) </w:t>
      </w:r>
      <w:r w:rsidR="006D3800">
        <w:t xml:space="preserve">in the paper </w:t>
      </w:r>
      <w:r w:rsidR="005B3C73" w:rsidRPr="0039141E">
        <w:t xml:space="preserve">relies upon </w:t>
      </w:r>
      <w:r w:rsidR="66617AB7" w:rsidRPr="00BE7ED3">
        <w:t xml:space="preserve">ACCC </w:t>
      </w:r>
      <w:r w:rsidR="00062E39">
        <w:t xml:space="preserve">data on </w:t>
      </w:r>
      <w:r w:rsidR="66617AB7" w:rsidRPr="00BE7ED3">
        <w:t>past acquisitions</w:t>
      </w:r>
      <w:r w:rsidR="00062E39">
        <w:t xml:space="preserve"> along with external </w:t>
      </w:r>
      <w:r w:rsidR="00062E39" w:rsidRPr="0039141E">
        <w:t>data</w:t>
      </w:r>
      <w:r w:rsidR="00427425">
        <w:t>,</w:t>
      </w:r>
      <w:r w:rsidR="00062E39" w:rsidRPr="0039141E">
        <w:t xml:space="preserve"> including</w:t>
      </w:r>
      <w:r w:rsidR="66617AB7" w:rsidRPr="00BE7ED3">
        <w:t xml:space="preserve"> the Bloomberg database and proprietary property sale data provided to Treasury</w:t>
      </w:r>
      <w:r w:rsidR="00CF062B" w:rsidRPr="0039141E">
        <w:t xml:space="preserve">. As explained below, none of these data sources have complete coverage of </w:t>
      </w:r>
      <w:r w:rsidR="00AA7406" w:rsidRPr="0039141E">
        <w:t xml:space="preserve">all </w:t>
      </w:r>
      <w:r w:rsidR="00CF062B" w:rsidRPr="0039141E">
        <w:t xml:space="preserve">the required variables </w:t>
      </w:r>
      <w:r w:rsidR="00BE1471" w:rsidRPr="0039141E">
        <w:t xml:space="preserve">(deal value, turnover </w:t>
      </w:r>
      <w:r w:rsidR="003F32DF" w:rsidRPr="0039141E">
        <w:t>for target and acquirer</w:t>
      </w:r>
      <w:r w:rsidR="004649AB" w:rsidRPr="0039141E">
        <w:t>) and</w:t>
      </w:r>
      <w:r w:rsidR="003F32DF" w:rsidRPr="0039141E">
        <w:t xml:space="preserve"> </w:t>
      </w:r>
      <w:r w:rsidR="611663C8" w:rsidRPr="0039141E">
        <w:t>each have different selection effects.</w:t>
      </w:r>
    </w:p>
    <w:p w14:paraId="335A4A08" w14:textId="5F6575B4" w:rsidR="005D42F6" w:rsidRDefault="611663C8" w:rsidP="00DA710F">
      <w:r w:rsidRPr="0039141E">
        <w:t xml:space="preserve">Treasury’s approach is </w:t>
      </w:r>
      <w:r w:rsidR="00062E39">
        <w:t xml:space="preserve">therefore </w:t>
      </w:r>
      <w:r w:rsidRPr="0039141E">
        <w:t xml:space="preserve">to </w:t>
      </w:r>
      <w:r w:rsidR="00390CC5">
        <w:t xml:space="preserve">principally </w:t>
      </w:r>
      <w:r w:rsidR="003D34CC">
        <w:t xml:space="preserve">rely on </w:t>
      </w:r>
      <w:r w:rsidRPr="0039141E">
        <w:t>AC</w:t>
      </w:r>
      <w:r w:rsidR="395EFEAA" w:rsidRPr="0039141E">
        <w:t>CC</w:t>
      </w:r>
      <w:r w:rsidRPr="0039141E" w:rsidDel="00812D9C">
        <w:t xml:space="preserve"> </w:t>
      </w:r>
      <w:r w:rsidRPr="0039141E">
        <w:t xml:space="preserve">past </w:t>
      </w:r>
      <w:r w:rsidR="395EFEAA" w:rsidRPr="0039141E">
        <w:t>acquisition</w:t>
      </w:r>
      <w:r w:rsidR="00812D9C" w:rsidRPr="0039141E">
        <w:t xml:space="preserve"> data</w:t>
      </w:r>
      <w:r w:rsidR="395EFEAA" w:rsidRPr="0039141E">
        <w:t xml:space="preserve">, which has </w:t>
      </w:r>
      <w:r w:rsidR="00F31174">
        <w:t xml:space="preserve">relatively </w:t>
      </w:r>
      <w:r w:rsidR="003D34CC">
        <w:t xml:space="preserve">detailed </w:t>
      </w:r>
      <w:r w:rsidR="395EFEAA" w:rsidRPr="0039141E">
        <w:t>coverage of financial data</w:t>
      </w:r>
      <w:r w:rsidR="490A0270" w:rsidRPr="0039141E">
        <w:t xml:space="preserve"> for </w:t>
      </w:r>
      <w:r w:rsidR="41BD657A" w:rsidRPr="0039141E">
        <w:t>a</w:t>
      </w:r>
      <w:r w:rsidR="490A0270" w:rsidRPr="0039141E">
        <w:t xml:space="preserve"> substantial share of acquisitions</w:t>
      </w:r>
      <w:r w:rsidR="00390CC5">
        <w:t xml:space="preserve">. </w:t>
      </w:r>
      <w:r w:rsidR="00F31174">
        <w:t>Then, t</w:t>
      </w:r>
      <w:r w:rsidR="003D34CC">
        <w:t>o</w:t>
      </w:r>
      <w:r w:rsidR="00C04327" w:rsidRPr="0039141E" w:rsidDel="003D34CC">
        <w:t xml:space="preserve"> </w:t>
      </w:r>
      <w:r w:rsidR="246F9B9A" w:rsidRPr="0039141E">
        <w:t xml:space="preserve">account for </w:t>
      </w:r>
      <w:r w:rsidR="003D34CC">
        <w:t>the fact the ACCC’s data is only a subset of overall merger activity</w:t>
      </w:r>
      <w:r w:rsidR="00A95217">
        <w:t xml:space="preserve"> in the market</w:t>
      </w:r>
      <w:r w:rsidR="00D20E1F">
        <w:t xml:space="preserve"> each year</w:t>
      </w:r>
      <w:r w:rsidR="003D34CC">
        <w:t xml:space="preserve">, </w:t>
      </w:r>
      <w:r w:rsidR="00F31174">
        <w:t xml:space="preserve">these counts are </w:t>
      </w:r>
      <w:r w:rsidR="00024331" w:rsidRPr="0039141E">
        <w:t>scal</w:t>
      </w:r>
      <w:r w:rsidR="00062E39">
        <w:t>e</w:t>
      </w:r>
      <w:r w:rsidR="00BB7309">
        <w:t>d</w:t>
      </w:r>
      <w:r w:rsidR="005A286B">
        <w:t xml:space="preserve"> up </w:t>
      </w:r>
      <w:r w:rsidR="00C448C2">
        <w:t xml:space="preserve">by a factor </w:t>
      </w:r>
      <w:r w:rsidR="00024331" w:rsidRPr="0039141E">
        <w:t xml:space="preserve">to </w:t>
      </w:r>
      <w:r w:rsidR="00F31174">
        <w:t>align</w:t>
      </w:r>
      <w:r w:rsidR="00024331" w:rsidRPr="0039141E" w:rsidDel="00F31174">
        <w:t xml:space="preserve"> </w:t>
      </w:r>
      <w:r w:rsidR="00F31174">
        <w:t xml:space="preserve">with </w:t>
      </w:r>
      <w:r w:rsidR="002A6B80">
        <w:t xml:space="preserve">overall </w:t>
      </w:r>
      <w:r w:rsidR="00024331" w:rsidRPr="0039141E">
        <w:t>merger activity</w:t>
      </w:r>
      <w:r w:rsidR="00C84206" w:rsidRPr="0039141E">
        <w:t xml:space="preserve"> in Australia </w:t>
      </w:r>
      <w:r w:rsidR="005A286B">
        <w:t xml:space="preserve">using the external </w:t>
      </w:r>
      <w:r w:rsidR="6D45E572" w:rsidRPr="0039141E">
        <w:t>databases</w:t>
      </w:r>
      <w:r w:rsidR="00A95217">
        <w:t>.</w:t>
      </w:r>
      <w:r w:rsidR="5078786A" w:rsidRPr="0039141E">
        <w:t xml:space="preserve"> </w:t>
      </w:r>
      <w:r w:rsidR="00C448C2">
        <w:t xml:space="preserve">This scaling </w:t>
      </w:r>
      <w:r w:rsidR="50314E2A">
        <w:t xml:space="preserve">factor is </w:t>
      </w:r>
      <w:r w:rsidR="00A95217">
        <w:t xml:space="preserve">assumed to </w:t>
      </w:r>
      <w:r w:rsidR="003F507D">
        <w:t xml:space="preserve">range from </w:t>
      </w:r>
      <w:r w:rsidR="00A95217">
        <w:t>1.5 and 3</w:t>
      </w:r>
      <w:r w:rsidR="003F507D">
        <w:t xml:space="preserve">, reflecting the merger </w:t>
      </w:r>
      <w:r w:rsidR="50314E2A">
        <w:t xml:space="preserve">counts by transaction value in the </w:t>
      </w:r>
      <w:r w:rsidR="0033250B">
        <w:t xml:space="preserve">Bloomberg and Refinitiv </w:t>
      </w:r>
      <w:r w:rsidR="00E2397B">
        <w:t xml:space="preserve">databases compared with the </w:t>
      </w:r>
      <w:r w:rsidR="50314E2A">
        <w:t xml:space="preserve">ACCC </w:t>
      </w:r>
      <w:r w:rsidR="00E425A0">
        <w:t>counts</w:t>
      </w:r>
      <w:r w:rsidR="50314E2A">
        <w:t>. Th</w:t>
      </w:r>
      <w:r w:rsidR="00836F42">
        <w:t xml:space="preserve">e relatively wide range in this factor reflects </w:t>
      </w:r>
      <w:r w:rsidR="00012E10">
        <w:t xml:space="preserve">both </w:t>
      </w:r>
      <w:r w:rsidR="00836F42">
        <w:t xml:space="preserve">the </w:t>
      </w:r>
      <w:r w:rsidR="50314E2A">
        <w:t>uncertain</w:t>
      </w:r>
      <w:r w:rsidR="00836F42">
        <w:t>ty in overall merger activity in Australia</w:t>
      </w:r>
      <w:r w:rsidR="50314E2A">
        <w:t xml:space="preserve">, </w:t>
      </w:r>
      <w:r w:rsidR="00287DAA">
        <w:t xml:space="preserve">and other sources of uncertainty such </w:t>
      </w:r>
      <w:r w:rsidR="50314E2A">
        <w:t xml:space="preserve">as some, but not all, acquirers in Bloomberg and Refinitiv </w:t>
      </w:r>
      <w:r w:rsidR="007C286C">
        <w:t xml:space="preserve">being </w:t>
      </w:r>
      <w:r w:rsidR="50314E2A">
        <w:t xml:space="preserve">flagged as ‘international’ </w:t>
      </w:r>
      <w:r w:rsidR="002711C5">
        <w:t xml:space="preserve">but </w:t>
      </w:r>
      <w:r w:rsidR="50314E2A">
        <w:t xml:space="preserve">may </w:t>
      </w:r>
      <w:r w:rsidR="002711C5">
        <w:t xml:space="preserve">still </w:t>
      </w:r>
      <w:r w:rsidR="50314E2A">
        <w:t xml:space="preserve">have a substantial presence in Australia. </w:t>
      </w:r>
    </w:p>
    <w:p w14:paraId="5BBD4181" w14:textId="342190FA" w:rsidR="0044050B" w:rsidRDefault="0044050B" w:rsidP="00DA710F">
      <w:r>
        <w:t xml:space="preserve">The projected notifications </w:t>
      </w:r>
      <w:r w:rsidR="006D3800">
        <w:t xml:space="preserve">of </w:t>
      </w:r>
      <w:r w:rsidR="00A45D06">
        <w:t>300</w:t>
      </w:r>
      <w:r w:rsidR="0066292E" w:rsidRPr="00BE7ED3">
        <w:t xml:space="preserve"> to </w:t>
      </w:r>
      <w:r w:rsidR="00A45D06">
        <w:t>500</w:t>
      </w:r>
      <w:r w:rsidR="006D3800">
        <w:t xml:space="preserve"> </w:t>
      </w:r>
      <w:r w:rsidR="006D3800" w:rsidRPr="00BE7ED3">
        <w:t>per year</w:t>
      </w:r>
      <w:r w:rsidR="006D3800" w:rsidRPr="0039141E">
        <w:t xml:space="preserve"> </w:t>
      </w:r>
      <w:r>
        <w:t xml:space="preserve">do not include the additional transactions that parties may choose to </w:t>
      </w:r>
      <w:r w:rsidR="00337EEF">
        <w:t xml:space="preserve">voluntarily </w:t>
      </w:r>
      <w:r>
        <w:t>notify even when not formally captured by any of the thresholds. The volume of such voluntary notifications is too difficult to quantify, but may be significant especially in the early years of the new system as businesses err on the side of notifying as a precaution.</w:t>
      </w:r>
    </w:p>
    <w:p w14:paraId="76E8CB20" w14:textId="4A54D9FF" w:rsidR="00E93014" w:rsidRDefault="00DA710F">
      <w:r>
        <w:t xml:space="preserve">The </w:t>
      </w:r>
      <w:r w:rsidR="004A4DF7">
        <w:t>turnover</w:t>
      </w:r>
      <w:r w:rsidR="00070A1E">
        <w:t xml:space="preserve"> and</w:t>
      </w:r>
      <w:r w:rsidR="004A4DF7">
        <w:t xml:space="preserve"> transaction value</w:t>
      </w:r>
      <w:r w:rsidR="000451C3">
        <w:t xml:space="preserve"> data </w:t>
      </w:r>
      <w:r w:rsidR="00851F95">
        <w:t>were</w:t>
      </w:r>
      <w:r w:rsidR="000451C3">
        <w:t xml:space="preserve"> </w:t>
      </w:r>
      <w:r w:rsidR="00154FB7">
        <w:t>adjusted</w:t>
      </w:r>
      <w:r w:rsidR="000451C3">
        <w:t xml:space="preserve"> to 2023</w:t>
      </w:r>
      <w:r w:rsidR="000451C3">
        <w:noBreakHyphen/>
        <w:t xml:space="preserve">24 dollars </w:t>
      </w:r>
      <w:r w:rsidR="00851F95">
        <w:t xml:space="preserve">using CPI data from the ABS </w:t>
      </w:r>
      <w:r w:rsidR="000451C3">
        <w:t xml:space="preserve">to </w:t>
      </w:r>
      <w:r w:rsidR="000E6025">
        <w:t>compare</w:t>
      </w:r>
      <w:r w:rsidR="000451C3">
        <w:t xml:space="preserve"> the </w:t>
      </w:r>
      <w:r w:rsidR="000E6025">
        <w:t xml:space="preserve">real </w:t>
      </w:r>
      <w:r w:rsidR="00851F95">
        <w:t xml:space="preserve">turnover and transaction </w:t>
      </w:r>
      <w:r w:rsidR="000E6025">
        <w:t xml:space="preserve">value </w:t>
      </w:r>
      <w:r w:rsidR="007851A3">
        <w:t xml:space="preserve">of each acquisition </w:t>
      </w:r>
      <w:r w:rsidR="00851F95">
        <w:t>against the proposed thresholds</w:t>
      </w:r>
      <w:r w:rsidR="000451C3">
        <w:t>.</w:t>
      </w:r>
      <w:r w:rsidR="00B849B6">
        <w:t xml:space="preserve"> </w:t>
      </w:r>
      <w:r w:rsidR="00795243">
        <w:t xml:space="preserve">Values were </w:t>
      </w:r>
      <w:r w:rsidR="00CD3C09">
        <w:t>adjusted</w:t>
      </w:r>
      <w:r w:rsidR="00795243">
        <w:t xml:space="preserve"> based on the financial year of the commencement date of the acquisition – for example, </w:t>
      </w:r>
      <w:r w:rsidR="00975D62">
        <w:t xml:space="preserve">the values for </w:t>
      </w:r>
      <w:r w:rsidR="00795243">
        <w:t xml:space="preserve">an acquisition </w:t>
      </w:r>
      <w:r w:rsidR="007B1DC1">
        <w:t xml:space="preserve">any time </w:t>
      </w:r>
      <w:r w:rsidR="00795243">
        <w:t xml:space="preserve">in </w:t>
      </w:r>
      <w:r w:rsidR="00AB6AB0">
        <w:t xml:space="preserve">the </w:t>
      </w:r>
      <w:r w:rsidR="00795243">
        <w:t>2020-21</w:t>
      </w:r>
      <w:r w:rsidR="00AB6AB0">
        <w:t xml:space="preserve"> financial year</w:t>
      </w:r>
      <w:r w:rsidR="00CC2395">
        <w:t xml:space="preserve"> </w:t>
      </w:r>
      <w:r w:rsidR="00975D62">
        <w:t xml:space="preserve">were </w:t>
      </w:r>
      <w:r w:rsidR="00835AEC">
        <w:lastRenderedPageBreak/>
        <w:t xml:space="preserve">adjusted </w:t>
      </w:r>
      <w:r w:rsidR="00CD3C09">
        <w:t>up</w:t>
      </w:r>
      <w:r w:rsidR="00E45132">
        <w:t xml:space="preserve"> to account</w:t>
      </w:r>
      <w:r w:rsidR="00CD3C09">
        <w:t xml:space="preserve"> </w:t>
      </w:r>
      <w:r w:rsidR="00835AEC">
        <w:t xml:space="preserve">for </w:t>
      </w:r>
      <w:r w:rsidR="00B97B29">
        <w:t xml:space="preserve">the </w:t>
      </w:r>
      <w:r w:rsidR="00835AEC">
        <w:t xml:space="preserve">three years of inflation </w:t>
      </w:r>
      <w:r w:rsidR="00B97B29">
        <w:t xml:space="preserve">that occurred </w:t>
      </w:r>
      <w:r w:rsidR="00835AEC">
        <w:t xml:space="preserve">between </w:t>
      </w:r>
      <w:r w:rsidR="00C21C70">
        <w:t xml:space="preserve">the </w:t>
      </w:r>
      <w:r w:rsidR="00835AEC">
        <w:t>2020</w:t>
      </w:r>
      <w:r w:rsidR="00835AEC">
        <w:noBreakHyphen/>
        <w:t>21 and 2023</w:t>
      </w:r>
      <w:r w:rsidR="00835AEC">
        <w:noBreakHyphen/>
        <w:t>24</w:t>
      </w:r>
      <w:r w:rsidR="00C21C70">
        <w:t xml:space="preserve"> financial years</w:t>
      </w:r>
      <w:r w:rsidR="00835AEC">
        <w:t>.</w:t>
      </w:r>
    </w:p>
    <w:p w14:paraId="1EAEF76E" w14:textId="05634369" w:rsidR="0038438D" w:rsidRDefault="0038438D">
      <w:r>
        <w:t xml:space="preserve">This is likely to still understate the real value of the acquisition given </w:t>
      </w:r>
      <w:r w:rsidR="0094332D">
        <w:t>the values are adjusted to 2023</w:t>
      </w:r>
      <w:r w:rsidR="0094332D">
        <w:noBreakHyphen/>
        <w:t xml:space="preserve">24 dollars, but the thresholds will apply at the start of 2026. Additionally, </w:t>
      </w:r>
      <w:r w:rsidR="0089716A">
        <w:t xml:space="preserve">the deflator is based on the commencement date of the </w:t>
      </w:r>
      <w:r w:rsidR="00BA59E6">
        <w:t>review</w:t>
      </w:r>
      <w:r w:rsidR="00921661">
        <w:t>,</w:t>
      </w:r>
      <w:r w:rsidR="00BA59E6">
        <w:t xml:space="preserve"> but the </w:t>
      </w:r>
      <w:r w:rsidR="0094332D">
        <w:t xml:space="preserve">turnover values are likely to be </w:t>
      </w:r>
      <w:r w:rsidR="00445ACD">
        <w:t>based on the financial year prior to the commencement date</w:t>
      </w:r>
      <w:r w:rsidR="0089716A">
        <w:t>.</w:t>
      </w:r>
    </w:p>
    <w:p w14:paraId="67299E7F" w14:textId="0ADC4334" w:rsidR="00D166A7" w:rsidRDefault="00B30F06" w:rsidP="00D166A7">
      <w:pPr>
        <w:pStyle w:val="Heading2"/>
      </w:pPr>
      <w:bookmarkStart w:id="49" w:name="_Toc176443960"/>
      <w:r>
        <w:t>D</w:t>
      </w:r>
      <w:r w:rsidR="00D166A7">
        <w:t>ata source</w:t>
      </w:r>
      <w:r>
        <w:t>s</w:t>
      </w:r>
      <w:bookmarkEnd w:id="49"/>
    </w:p>
    <w:p w14:paraId="286D3FAC" w14:textId="1F1CB5CB" w:rsidR="00DA6D81" w:rsidRDefault="00DA6D81" w:rsidP="00DA6D81">
      <w:r w:rsidRPr="00CA00E7">
        <w:t xml:space="preserve">ACCC </w:t>
      </w:r>
      <w:r>
        <w:t xml:space="preserve">historical </w:t>
      </w:r>
      <w:r w:rsidR="00131A24">
        <w:t xml:space="preserve">public merger </w:t>
      </w:r>
      <w:r w:rsidRPr="00CA00E7">
        <w:t>review</w:t>
      </w:r>
      <w:r w:rsidRPr="00734739">
        <w:t xml:space="preserve">s include </w:t>
      </w:r>
      <w:r>
        <w:t>pre-assessments and</w:t>
      </w:r>
      <w:r w:rsidRPr="00734739">
        <w:t xml:space="preserve"> public reviews undertaken by the ACCC. </w:t>
      </w:r>
      <w:r>
        <w:t>T</w:t>
      </w:r>
      <w:r w:rsidRPr="00734739">
        <w:t xml:space="preserve">his data only </w:t>
      </w:r>
      <w:r w:rsidRPr="00CA00E7">
        <w:t xml:space="preserve">captures mergers that </w:t>
      </w:r>
      <w:r w:rsidRPr="00734739">
        <w:t xml:space="preserve">were voluntarily notified to </w:t>
      </w:r>
      <w:r w:rsidRPr="00CA00E7">
        <w:t>the ACCC</w:t>
      </w:r>
      <w:r>
        <w:t>, and is therefore not a complete dataset of Australian mergers and acquisitions</w:t>
      </w:r>
      <w:r w:rsidRPr="00CA00E7">
        <w:t xml:space="preserve">. </w:t>
      </w:r>
      <w:r>
        <w:t>Counts for historical reviews were based on 2023 (pre-assessments) and 2018-2024 (public reviews).</w:t>
      </w:r>
    </w:p>
    <w:p w14:paraId="3B005F4D" w14:textId="5036728A" w:rsidR="00D166A7" w:rsidRDefault="00D166A7" w:rsidP="00D166A7">
      <w:pPr>
        <w:rPr>
          <w:rFonts w:ascii="Calibri" w:eastAsia="Calibri" w:hAnsi="Calibri" w:cs="Calibri"/>
        </w:rPr>
      </w:pPr>
      <w:r w:rsidRPr="00E75303">
        <w:t>The Bloomberg database includes a wide range of transactions</w:t>
      </w:r>
      <w:r>
        <w:t>,</w:t>
      </w:r>
      <w:r w:rsidRPr="00E75303">
        <w:t xml:space="preserve"> including property purchases, partial acquisitions, acquisitions by international buyers and joint ventures. </w:t>
      </w:r>
      <w:r>
        <w:t xml:space="preserve">The upper range for Bloomberg including domestic and international acquirers of Australian targets and may include international businesses with no local presence. The lower range for Bloomberg only includes Australian targets and Australian acquirers. Approximately 40 per cent of transaction value data is undisclosed or not publicly available. </w:t>
      </w:r>
    </w:p>
    <w:p w14:paraId="4AACC553" w14:textId="5082A65A" w:rsidR="0BBBCF02" w:rsidRDefault="0BBBCF02" w:rsidP="0C99E783">
      <w:pPr>
        <w:rPr>
          <w:rFonts w:eastAsia="Calibri"/>
        </w:rPr>
      </w:pPr>
      <w:r w:rsidRPr="2D2428E0">
        <w:rPr>
          <w:rFonts w:eastAsia="Calibri"/>
        </w:rPr>
        <w:t>Refinitiv, like Bloomberg, is a commercial database of merger and acquisition activity. It also includes acquisitions by domestic and international acquirers, partial acquisitions, and covers a wide range of industries</w:t>
      </w:r>
      <w:r w:rsidR="051C5873" w:rsidRPr="2D2428E0">
        <w:rPr>
          <w:rFonts w:eastAsia="Calibri"/>
        </w:rPr>
        <w:t xml:space="preserve"> and </w:t>
      </w:r>
      <w:r w:rsidRPr="2D2428E0">
        <w:rPr>
          <w:rFonts w:eastAsia="Calibri"/>
        </w:rPr>
        <w:t xml:space="preserve">deal types. Refinitiv counts are based on </w:t>
      </w:r>
      <w:r w:rsidR="5C6B6053" w:rsidRPr="2D2428E0">
        <w:rPr>
          <w:rFonts w:eastAsia="Calibri"/>
        </w:rPr>
        <w:t>both domestic and international acquirers of Australian targets. Around 50</w:t>
      </w:r>
      <w:r w:rsidR="0B5583D8" w:rsidRPr="2D2428E0">
        <w:rPr>
          <w:rFonts w:eastAsia="Calibri"/>
        </w:rPr>
        <w:t xml:space="preserve"> per cent</w:t>
      </w:r>
      <w:r w:rsidR="5C6B6053" w:rsidRPr="2D2428E0">
        <w:rPr>
          <w:rFonts w:eastAsia="Calibri"/>
        </w:rPr>
        <w:t xml:space="preserve"> of transaction values in Refin</w:t>
      </w:r>
      <w:r w:rsidR="42F1D344" w:rsidRPr="2D2428E0">
        <w:rPr>
          <w:rFonts w:eastAsia="Calibri"/>
        </w:rPr>
        <w:t>i</w:t>
      </w:r>
      <w:r w:rsidR="5C6B6053" w:rsidRPr="2D2428E0">
        <w:rPr>
          <w:rFonts w:eastAsia="Calibri"/>
        </w:rPr>
        <w:t>tiv are undisclosed or not publicly available.</w:t>
      </w:r>
      <w:r w:rsidR="7DDF7A32" w:rsidRPr="2D2428E0">
        <w:rPr>
          <w:rFonts w:eastAsia="Calibri"/>
        </w:rPr>
        <w:t xml:space="preserve"> </w:t>
      </w:r>
    </w:p>
    <w:p w14:paraId="1E21B37A" w14:textId="0610B77A" w:rsidR="7DDF7A32" w:rsidRDefault="7DDF7A32" w:rsidP="0C99E783">
      <w:pPr>
        <w:rPr>
          <w:rFonts w:eastAsia="Calibri"/>
        </w:rPr>
      </w:pPr>
      <w:r w:rsidRPr="0C99E783">
        <w:rPr>
          <w:rFonts w:eastAsia="Calibri"/>
        </w:rPr>
        <w:t>For both Bloomberg and Refinitiv, Treasury analysis assumes the distribution of missing transaction values is the same as transactions with known values.</w:t>
      </w:r>
    </w:p>
    <w:p w14:paraId="1302C566" w14:textId="27D5AFFA" w:rsidR="00DA710F" w:rsidRPr="00DA710F" w:rsidRDefault="00D166A7" w:rsidP="00DA710F">
      <w:pPr>
        <w:rPr>
          <w:rFonts w:ascii="Calibri" w:eastAsia="Calibri" w:hAnsi="Calibri" w:cs="Calibri"/>
        </w:rPr>
      </w:pPr>
      <w:r>
        <w:t>The Treasury Merger Database</w:t>
      </w:r>
      <w:r w:rsidR="00213438" w:rsidRPr="00FF37D9">
        <w:rPr>
          <w:rStyle w:val="FootnoteReference"/>
          <w:vertAlign w:val="superscript"/>
        </w:rPr>
        <w:footnoteReference w:id="65"/>
      </w:r>
      <w:r>
        <w:t xml:space="preserve"> employs a new approach to identifying mergers by using </w:t>
      </w:r>
      <w:r w:rsidRPr="00B22DE6">
        <w:t xml:space="preserve">Business Longitudinal Analysis Data Environment (BLADE) </w:t>
      </w:r>
      <w:r>
        <w:t xml:space="preserve">administrative micro-data </w:t>
      </w:r>
      <w:r w:rsidRPr="009A3A0D">
        <w:t>based on the flow of workers between ABNs, and ABNs switching between tax consolidated groups</w:t>
      </w:r>
      <w:r>
        <w:t>. Any acquisitions that do not result in a worker flow or an ABN switch between tax groups are therefore not captured in the current version of the Treasury Merger Database, which may miss property acquisitions, including land banking and long-term lease acquisitions. We expect the true number of mergers and acquisitions to be higher than the current Treasury Merger Database estimates. The Merger Database does not include transaction values, and counts by transaction value have been estimated based on the target turnover, assets, and whether the target has foreign financial connections based on taxation information. Counts are averaged over the period 2014 to 2018.</w:t>
      </w:r>
    </w:p>
    <w:sectPr w:rsidR="00DA710F" w:rsidRPr="00DA710F" w:rsidSect="00295B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745" w14:textId="77777777" w:rsidR="00384040" w:rsidRDefault="00384040">
      <w:pPr>
        <w:spacing w:before="0" w:after="0"/>
      </w:pPr>
      <w:r>
        <w:separator/>
      </w:r>
    </w:p>
  </w:endnote>
  <w:endnote w:type="continuationSeparator" w:id="0">
    <w:p w14:paraId="22865B84" w14:textId="77777777" w:rsidR="00384040" w:rsidRDefault="00384040">
      <w:pPr>
        <w:spacing w:before="0" w:after="0"/>
      </w:pPr>
      <w:r>
        <w:continuationSeparator/>
      </w:r>
    </w:p>
  </w:endnote>
  <w:endnote w:type="continuationNotice" w:id="1">
    <w:p w14:paraId="7AB005EE" w14:textId="77777777" w:rsidR="00384040" w:rsidRDefault="003840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9010" w14:textId="1FC3DF13" w:rsidR="00156F0D" w:rsidRDefault="00156F0D">
    <w:pPr>
      <w:pStyle w:val="Footer"/>
    </w:pPr>
    <w:r>
      <w:rPr>
        <w:noProof/>
      </w:rPr>
      <mc:AlternateContent>
        <mc:Choice Requires="wps">
          <w:drawing>
            <wp:anchor distT="0" distB="0" distL="0" distR="0" simplePos="0" relativeHeight="251658246" behindDoc="0" locked="0" layoutInCell="1" allowOverlap="1" wp14:anchorId="559D7E98" wp14:editId="160E61BE">
              <wp:simplePos x="900752" y="10085696"/>
              <wp:positionH relativeFrom="page">
                <wp:align>center</wp:align>
              </wp:positionH>
              <wp:positionV relativeFrom="page">
                <wp:align>bottom</wp:align>
              </wp:positionV>
              <wp:extent cx="1177925" cy="452755"/>
              <wp:effectExtent l="0" t="0" r="3175" b="0"/>
              <wp:wrapNone/>
              <wp:docPr id="432520106" name="Text Box 43252010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33D6DF4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59D7E98" id="_x0000_t202" coordsize="21600,21600" o:spt="202" path="m,l,21600r21600,l21600,xe">
              <v:stroke joinstyle="miter"/>
              <v:path gradientshapeok="t" o:connecttype="rect"/>
            </v:shapetype>
            <v:shape id="Text Box 432520106" o:spid="_x0000_s1026" type="#_x0000_t202" alt="OFFICIAL: Sensitive" style="position:absolute;left:0;text-align:left;margin-left:0;margin-top:0;width:92.7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cACwIAABYEAAAOAAAAZHJzL2Uyb0RvYy54bWysU8Fu2zAMvQ/YPwi6L3aCZVmN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" filled="f" stroked="f">
              <v:textbox style="mso-fit-shape-to-text:t" inset="0,0,0,15pt">
                <w:txbxContent>
                  <w:p w14:paraId="33D6DF4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6376" w14:textId="2D194FAC" w:rsidR="003F00AC" w:rsidRDefault="003F00AC" w:rsidP="00103F3C">
    <w:pPr>
      <w:pStyle w:val="FooterOdd"/>
    </w:pPr>
    <w:r>
      <w:t>Competition Review</w:t>
    </w:r>
    <w:r>
      <w:tab/>
    </w:r>
    <w:r w:rsidR="00A549E8">
      <w:fldChar w:fldCharType="begin"/>
    </w:r>
    <w:r w:rsidR="00A549E8">
      <w:instrText>STYLEREF  "Heading 1"  \* MERGEFORMAT</w:instrText>
    </w:r>
    <w:r w:rsidR="00A549E8">
      <w:fldChar w:fldCharType="separate"/>
    </w:r>
    <w:r w:rsidR="00A549E8">
      <w:rPr>
        <w:noProof/>
      </w:rPr>
      <w:t>Market concentration</w:t>
    </w:r>
    <w:r w:rsidR="00A549E8">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07C" w14:textId="77DF4A19" w:rsidR="003F00AC" w:rsidRDefault="00A55A35" w:rsidP="00095D88">
    <w:pPr>
      <w:pStyle w:val="Footer"/>
    </w:pPr>
    <w:r>
      <w:rPr>
        <w:noProof/>
      </w:rPr>
      <mc:AlternateContent>
        <mc:Choice Requires="wps">
          <w:drawing>
            <wp:anchor distT="0" distB="0" distL="0" distR="0" simplePos="0" relativeHeight="251658250" behindDoc="0" locked="0" layoutInCell="1" allowOverlap="1" wp14:anchorId="58FA611F" wp14:editId="186CD1D5">
              <wp:simplePos x="635" y="635"/>
              <wp:positionH relativeFrom="page">
                <wp:align>center</wp:align>
              </wp:positionH>
              <wp:positionV relativeFrom="page">
                <wp:align>bottom</wp:align>
              </wp:positionV>
              <wp:extent cx="1177925" cy="452755"/>
              <wp:effectExtent l="0" t="0" r="3175" b="0"/>
              <wp:wrapNone/>
              <wp:docPr id="128789165" name="Text Box 12878916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221D8B6E" w14:textId="77777777" w:rsidR="00A55A35" w:rsidRPr="00A55A35" w:rsidRDefault="00A55A35"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8FA611F" id="_x0000_t202" coordsize="21600,21600" o:spt="202" path="m,l,21600r21600,l21600,xe">
              <v:stroke joinstyle="miter"/>
              <v:path gradientshapeok="t" o:connecttype="rect"/>
            </v:shapetype>
            <v:shape id="Text Box 128789165" o:spid="_x0000_s1031" type="#_x0000_t202" alt="OFFICIAL: Sensitive" style="position:absolute;left:0;text-align:left;margin-left:0;margin-top:0;width:92.75pt;height:35.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OSDgIAAB0EAAAOAAAAZHJzL2Uyb0RvYy54bWysU8Fu2zAMvQ/YPwi6L3aCZVmN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" filled="f" stroked="f">
              <v:textbox style="mso-fit-shape-to-text:t" inset="0,0,0,15pt">
                <w:txbxContent>
                  <w:p w14:paraId="221D8B6E" w14:textId="77777777" w:rsidR="00A55A35" w:rsidRPr="00A55A35" w:rsidRDefault="00A55A35"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5B0F" w14:textId="696283EF" w:rsidR="00156F0D" w:rsidRDefault="00156F0D">
    <w:pPr>
      <w:pStyle w:val="Footer"/>
    </w:pPr>
    <w:r>
      <w:rPr>
        <w:noProof/>
      </w:rPr>
      <mc:AlternateContent>
        <mc:Choice Requires="wps">
          <w:drawing>
            <wp:anchor distT="0" distB="0" distL="0" distR="0" simplePos="0" relativeHeight="251658245" behindDoc="0" locked="0" layoutInCell="1" allowOverlap="1" wp14:anchorId="2335D389" wp14:editId="6300FDBE">
              <wp:simplePos x="900752" y="10085696"/>
              <wp:positionH relativeFrom="page">
                <wp:align>center</wp:align>
              </wp:positionH>
              <wp:positionV relativeFrom="page">
                <wp:align>bottom</wp:align>
              </wp:positionV>
              <wp:extent cx="1177925" cy="452755"/>
              <wp:effectExtent l="0" t="0" r="3175" b="0"/>
              <wp:wrapNone/>
              <wp:docPr id="1724363562" name="Text Box 172436356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68105B1C"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335D389" id="_x0000_t202" coordsize="21600,21600" o:spt="202" path="m,l,21600r21600,l21600,xe">
              <v:stroke joinstyle="miter"/>
              <v:path gradientshapeok="t" o:connecttype="rect"/>
            </v:shapetype>
            <v:shape id="Text Box 1724363562" o:spid="_x0000_s1027" type="#_x0000_t202" alt="OFFICIAL: Sensitive" style="position:absolute;left:0;text-align:left;margin-left:0;margin-top:0;width:92.7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" filled="f" stroked="f">
              <v:textbox style="mso-fit-shape-to-text:t" inset="0,0,0,15pt">
                <w:txbxContent>
                  <w:p w14:paraId="68105B1C"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0A6" w14:textId="15D20897" w:rsidR="00156F0D" w:rsidRDefault="00156F0D" w:rsidP="00EE1447">
    <w:pPr>
      <w:pStyle w:val="FooterEven"/>
    </w:pPr>
    <w:r>
      <mc:AlternateContent>
        <mc:Choice Requires="wps">
          <w:drawing>
            <wp:anchor distT="0" distB="0" distL="0" distR="0" simplePos="0" relativeHeight="251658241" behindDoc="0" locked="0" layoutInCell="1" allowOverlap="1" wp14:anchorId="3BBF97FE" wp14:editId="4036C915">
              <wp:simplePos x="635" y="635"/>
              <wp:positionH relativeFrom="page">
                <wp:align>center</wp:align>
              </wp:positionH>
              <wp:positionV relativeFrom="page">
                <wp:align>bottom</wp:align>
              </wp:positionV>
              <wp:extent cx="1177925" cy="452755"/>
              <wp:effectExtent l="0" t="0" r="3175" b="0"/>
              <wp:wrapNone/>
              <wp:docPr id="1544741660" name="Text Box 154474166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39FBD50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BBF97FE" id="_x0000_t202" coordsize="21600,21600" o:spt="202" path="m,l,21600r21600,l21600,xe">
              <v:stroke joinstyle="miter"/>
              <v:path gradientshapeok="t" o:connecttype="rect"/>
            </v:shapetype>
            <v:shape id="Text Box 1544741660" o:spid="_x0000_s1028" type="#_x0000_t202" alt="OFFICIAL: Sensitive" style="position:absolute;margin-left:0;margin-top:0;width:92.7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4iDwIAAB0EAAAOAAAAZHJzL2Uyb0RvYy54bWysU8Fu2zAMvQ/YPwi6L3aCZV2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" filled="f" stroked="f">
              <v:textbox style="mso-fit-shape-to-text:t" inset="0,0,0,15pt">
                <w:txbxContent>
                  <w:p w14:paraId="39FBD50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r>
      <w:drawing>
        <wp:anchor distT="0" distB="0" distL="114300" distR="114300" simplePos="0" relativeHeight="251658240" behindDoc="1" locked="0" layoutInCell="1" allowOverlap="0" wp14:anchorId="10CD145B" wp14:editId="2692A5D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24466142" name="Picture 6244661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0538CD">
      <w:fldChar w:fldCharType="begin"/>
    </w:r>
    <w:r w:rsidR="000538CD">
      <w:instrText>STYLEREF  "Heading 1"  \* MERGEFORMAT</w:instrText>
    </w:r>
    <w:r w:rsidR="000538CD">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717A" w14:textId="0EB2CA61" w:rsidR="00156F0D" w:rsidRDefault="00156F0D">
    <w:pPr>
      <w:pStyle w:val="Footer"/>
    </w:pPr>
    <w:r>
      <w:rPr>
        <w:noProof/>
      </w:rPr>
      <mc:AlternateContent>
        <mc:Choice Requires="wps">
          <w:drawing>
            <wp:anchor distT="0" distB="0" distL="0" distR="0" simplePos="0" relativeHeight="251658242" behindDoc="0" locked="0" layoutInCell="1" allowOverlap="1" wp14:anchorId="62F157E9" wp14:editId="5FC67CEE">
              <wp:simplePos x="635" y="635"/>
              <wp:positionH relativeFrom="page">
                <wp:align>center</wp:align>
              </wp:positionH>
              <wp:positionV relativeFrom="page">
                <wp:align>bottom</wp:align>
              </wp:positionV>
              <wp:extent cx="1177925" cy="452755"/>
              <wp:effectExtent l="0" t="0" r="3175" b="0"/>
              <wp:wrapNone/>
              <wp:docPr id="1658415256" name="Text Box 165841525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0D28E7B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2F157E9" id="_x0000_t202" coordsize="21600,21600" o:spt="202" path="m,l,21600r21600,l21600,xe">
              <v:stroke joinstyle="miter"/>
              <v:path gradientshapeok="t" o:connecttype="rect"/>
            </v:shapetype>
            <v:shape id="Text Box 1658415256" o:spid="_x0000_s1029" type="#_x0000_t202" alt="OFFICIAL: Sensitive" style="position:absolute;left:0;text-align:left;margin-left:0;margin-top:0;width:92.7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" filled="f" stroked="f">
              <v:textbox style="mso-fit-shape-to-text:t" inset="0,0,0,15pt">
                <w:txbxContent>
                  <w:p w14:paraId="0D28E7B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088B" w14:textId="744FE22A" w:rsidR="00156F0D" w:rsidRDefault="00156F0D" w:rsidP="00D65732">
    <w:pPr>
      <w:pStyle w:val="FooterOdd"/>
    </w:pPr>
    <w:r>
      <w:t>Competition Review</w:t>
    </w:r>
    <w:r>
      <w:tab/>
    </w:r>
    <w:r w:rsidR="00A549E8">
      <w:fldChar w:fldCharType="begin"/>
    </w:r>
    <w:r w:rsidR="00A549E8">
      <w:instrText>STYLEREF  "Heading 1"  \* MERGEFORMAT</w:instrText>
    </w:r>
    <w:r w:rsidR="00A549E8">
      <w:fldChar w:fldCharType="separate"/>
    </w:r>
    <w:r w:rsidR="00A549E8">
      <w:rPr>
        <w:noProof/>
      </w:rPr>
      <w:t>Contents</w:t>
    </w:r>
    <w:r w:rsidR="00A549E8">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BC86" w14:textId="0B9824C1" w:rsidR="00156F0D" w:rsidRDefault="00156F0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A549E8">
      <w:fldChar w:fldCharType="begin"/>
    </w:r>
    <w:r w:rsidR="00A549E8">
      <w:instrText>STYLEREF  "Heading 1"  \* MERGEFORMAT</w:instrText>
    </w:r>
    <w:r w:rsidR="00A549E8">
      <w:fldChar w:fldCharType="separate"/>
    </w:r>
    <w:r w:rsidR="00A549E8">
      <w:t>Monetary</w:t>
    </w:r>
    <w:r w:rsidR="00A549E8">
      <w:fldChar w:fldCharType="end"/>
    </w:r>
    <w:r>
      <w:tab/>
    </w:r>
    <w:r w:rsidRPr="00A12D1B">
      <w:t>Competition</w:t>
    </w:r>
    <w:r>
      <w:rPr>
        <w:position w:val="-8"/>
      </w:rPr>
      <w:t xml:space="preserve"> </w:t>
    </w:r>
    <w:r w:rsidRPr="00A12D1B">
      <w:t>Review</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954" w14:textId="720980D3" w:rsidR="00156F0D" w:rsidRDefault="00156F0D" w:rsidP="00103F3C">
    <w:pPr>
      <w:pStyle w:val="FooterOdd"/>
    </w:pPr>
    <w:r>
      <w:t>Competition Review</w:t>
    </w:r>
    <w:r>
      <w:tab/>
    </w:r>
    <w:r w:rsidR="00A549E8">
      <w:fldChar w:fldCharType="begin"/>
    </w:r>
    <w:r w:rsidR="00A549E8">
      <w:instrText>STYLEREF  "Heading 1"  \* MERGEFORMAT</w:instrText>
    </w:r>
    <w:r w:rsidR="00A549E8">
      <w:fldChar w:fldCharType="separate"/>
    </w:r>
    <w:r w:rsidR="00A549E8">
      <w:rPr>
        <w:noProof/>
      </w:rPr>
      <w:t>Monetary</w:t>
    </w:r>
    <w:r w:rsidR="00A549E8">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F2DA" w14:textId="77777777" w:rsidR="00156F0D" w:rsidRDefault="00156F0D" w:rsidP="00095D88">
    <w:pPr>
      <w:pStyle w:val="Footer"/>
    </w:pPr>
    <w:r>
      <w:rPr>
        <w:noProof/>
      </w:rPr>
      <mc:AlternateContent>
        <mc:Choice Requires="wps">
          <w:drawing>
            <wp:anchor distT="0" distB="0" distL="0" distR="0" simplePos="0" relativeHeight="251658247" behindDoc="0" locked="0" layoutInCell="1" allowOverlap="1" wp14:anchorId="1B0F4095" wp14:editId="332D4462">
              <wp:simplePos x="635" y="635"/>
              <wp:positionH relativeFrom="page">
                <wp:align>center</wp:align>
              </wp:positionH>
              <wp:positionV relativeFrom="page">
                <wp:align>bottom</wp:align>
              </wp:positionV>
              <wp:extent cx="1177925" cy="452755"/>
              <wp:effectExtent l="0" t="0" r="3175" b="0"/>
              <wp:wrapNone/>
              <wp:docPr id="1069436231" name="Text Box 106943623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2E576910"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B0F4095" id="_x0000_t202" coordsize="21600,21600" o:spt="202" path="m,l,21600r21600,l21600,xe">
              <v:stroke joinstyle="miter"/>
              <v:path gradientshapeok="t" o:connecttype="rect"/>
            </v:shapetype>
            <v:shape id="Text Box 1069436231" o:spid="_x0000_s1030" type="#_x0000_t202" alt="OFFICIAL: Sensitive" style="position:absolute;left:0;text-align:left;margin-left:0;margin-top:0;width:92.7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" filled="f" stroked="f">
              <v:textbox style="mso-fit-shape-to-text:t" inset="0,0,0,15pt">
                <w:txbxContent>
                  <w:p w14:paraId="2E576910"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D751" w14:textId="206D7EE8" w:rsidR="003F00AC" w:rsidRDefault="003F00AC"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A549E8">
      <w:fldChar w:fldCharType="begin"/>
    </w:r>
    <w:r w:rsidR="00A549E8">
      <w:instrText>STYLEREF  "Heading 1"  \* MERGEFORMAT</w:instrText>
    </w:r>
    <w:r w:rsidR="00A549E8">
      <w:fldChar w:fldCharType="separate"/>
    </w:r>
    <w:r w:rsidR="00A549E8">
      <w:t>Market concentration</w:t>
    </w:r>
    <w:r w:rsidR="00A549E8">
      <w:fldChar w:fldCharType="end"/>
    </w:r>
    <w:r w:rsidR="003932A3">
      <w:tab/>
    </w:r>
    <w:r w:rsidRPr="00A12D1B">
      <w:t>Competition</w:t>
    </w:r>
    <w:r>
      <w:rPr>
        <w:position w:val="-8"/>
      </w:rPr>
      <w:t xml:space="preserve"> </w:t>
    </w:r>
    <w:r w:rsidRPr="00A12D1B">
      <w:t>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6762" w14:textId="77777777" w:rsidR="00384040" w:rsidRPr="00ED5A20" w:rsidRDefault="00384040" w:rsidP="000F6233">
      <w:pPr>
        <w:rPr>
          <w:color w:val="4D7861" w:themeColor="accent2"/>
        </w:rPr>
      </w:pPr>
      <w:r w:rsidRPr="00ED5A20">
        <w:rPr>
          <w:color w:val="4D7861" w:themeColor="accent2"/>
        </w:rPr>
        <w:separator/>
      </w:r>
    </w:p>
  </w:footnote>
  <w:footnote w:type="continuationSeparator" w:id="0">
    <w:p w14:paraId="118531DC" w14:textId="77777777" w:rsidR="00384040" w:rsidRPr="00B737EB" w:rsidRDefault="00384040">
      <w:pPr>
        <w:spacing w:before="0" w:after="0"/>
        <w:rPr>
          <w:color w:val="2C384A" w:themeColor="accent1"/>
        </w:rPr>
      </w:pPr>
      <w:r w:rsidRPr="00B737EB">
        <w:rPr>
          <w:color w:val="2C384A" w:themeColor="accent1"/>
        </w:rPr>
        <w:continuationSeparator/>
      </w:r>
    </w:p>
  </w:footnote>
  <w:footnote w:type="continuationNotice" w:id="1">
    <w:p w14:paraId="6A95F30A" w14:textId="77777777" w:rsidR="00384040" w:rsidRDefault="00384040">
      <w:pPr>
        <w:spacing w:before="0" w:after="0"/>
      </w:pPr>
    </w:p>
  </w:footnote>
  <w:footnote w:id="2">
    <w:p w14:paraId="7EB24635" w14:textId="001A966E" w:rsidR="00156F0D" w:rsidRDefault="00156F0D" w:rsidP="00156F0D">
      <w:pPr>
        <w:pStyle w:val="FootnoteText"/>
      </w:pPr>
      <w:r>
        <w:rPr>
          <w:rStyle w:val="FootnoteReference"/>
        </w:rPr>
        <w:footnoteRef/>
      </w:r>
      <w:r>
        <w:t xml:space="preserve"> </w:t>
      </w:r>
      <w:r w:rsidR="009B6C34">
        <w:tab/>
      </w:r>
      <w:r w:rsidRPr="000E44B8">
        <w:t>Treasury</w:t>
      </w:r>
      <w:r w:rsidR="00733FAC">
        <w:t xml:space="preserve">, </w:t>
      </w:r>
      <w:hyperlink r:id="rId1" w:history="1">
        <w:r w:rsidRPr="0005317B">
          <w:rPr>
            <w:rStyle w:val="Hyperlink"/>
            <w:i/>
            <w:iCs/>
          </w:rPr>
          <w:t>Merger Reform: A Faster, Stronger and Simpler System for a More Competitive Economy</w:t>
        </w:r>
      </w:hyperlink>
      <w:r w:rsidR="00733FAC">
        <w:t>, Treasury, Australian Government, 2024</w:t>
      </w:r>
      <w:r>
        <w:t>.</w:t>
      </w:r>
    </w:p>
  </w:footnote>
  <w:footnote w:id="3">
    <w:p w14:paraId="500EB45E" w14:textId="77777777" w:rsidR="00EF1987" w:rsidRDefault="00EF1987" w:rsidP="00EF1987">
      <w:pPr>
        <w:pStyle w:val="FootnoteText"/>
      </w:pPr>
      <w:r>
        <w:rPr>
          <w:rStyle w:val="FootnoteReference"/>
        </w:rPr>
        <w:footnoteRef/>
      </w:r>
      <w:r>
        <w:t xml:space="preserve"> </w:t>
      </w:r>
      <w:r>
        <w:tab/>
        <w:t xml:space="preserve">In Australia, it is envisaged that the new merger control system will apply to acquisitions of shares or assets, subject to certain exclusions. See Treasury, </w:t>
      </w:r>
      <w:hyperlink r:id="rId2" w:history="1">
        <w:r w:rsidRPr="004F4B59">
          <w:rPr>
            <w:rStyle w:val="Hyperlink"/>
            <w:i/>
            <w:iCs/>
          </w:rPr>
          <w:t>Reforming mergers and acquisitions – exposure draft</w:t>
        </w:r>
      </w:hyperlink>
      <w:r w:rsidRPr="005B2496">
        <w:rPr>
          <w:rStyle w:val="Hyperlink"/>
          <w:color w:val="auto"/>
        </w:rPr>
        <w:t>, Treasury, Australian Government, 2024</w:t>
      </w:r>
      <w:r>
        <w:t>. For ease of reading, this consultation paper uses the term ‘merger’ and ‘acquisition’ interchangeably, and the term ‘merger’ is used to encompass acquisitions of shares or assets.</w:t>
      </w:r>
    </w:p>
  </w:footnote>
  <w:footnote w:id="4">
    <w:p w14:paraId="6085F34C" w14:textId="77777777" w:rsidR="009A3BEB" w:rsidRDefault="009A3BEB" w:rsidP="009A3BEB">
      <w:pPr>
        <w:pStyle w:val="FootnoteText"/>
      </w:pPr>
      <w:r>
        <w:rPr>
          <w:rStyle w:val="FootnoteReference"/>
        </w:rPr>
        <w:footnoteRef/>
      </w:r>
      <w:r>
        <w:t xml:space="preserve"> </w:t>
      </w:r>
      <w:r>
        <w:tab/>
        <w:t>International Competition Network (ICN),</w:t>
      </w:r>
      <w:r w:rsidDel="000F78ED">
        <w:t xml:space="preserve"> </w:t>
      </w:r>
      <w:hyperlink r:id="rId3" w:history="1">
        <w:r w:rsidRPr="00113BF9">
          <w:rPr>
            <w:rStyle w:val="Hyperlink"/>
            <w:i/>
            <w:iCs/>
          </w:rPr>
          <w:t>ICN Recommended Practices for Merger Notification and Review Procedures</w:t>
        </w:r>
      </w:hyperlink>
      <w:r>
        <w:t>, ICN, 2018, p 3, accessed 30 July 2024.</w:t>
      </w:r>
    </w:p>
  </w:footnote>
  <w:footnote w:id="5">
    <w:p w14:paraId="22F419CD" w14:textId="45A29704" w:rsidR="008D4C69" w:rsidRDefault="008D4C69">
      <w:pPr>
        <w:pStyle w:val="FootnoteText"/>
      </w:pPr>
      <w:r>
        <w:rPr>
          <w:rStyle w:val="FootnoteReference"/>
        </w:rPr>
        <w:footnoteRef/>
      </w:r>
      <w:r>
        <w:t xml:space="preserve"> </w:t>
      </w:r>
      <w:r>
        <w:tab/>
        <w:t>Note however that m</w:t>
      </w:r>
      <w:r w:rsidRPr="001B4CEA">
        <w:t xml:space="preserve">inority or partial interests can still be of interest to competition agencies. </w:t>
      </w:r>
      <w:r>
        <w:t>E</w:t>
      </w:r>
      <w:r w:rsidRPr="001B4CEA">
        <w:t>conomic literature suggests that common ownership may be associated with competition issues, such as higher prices</w:t>
      </w:r>
      <w:r>
        <w:t>:</w:t>
      </w:r>
      <w:r w:rsidRPr="001B4CEA">
        <w:t xml:space="preserve"> </w:t>
      </w:r>
      <w:r>
        <w:t xml:space="preserve">OECD, </w:t>
      </w:r>
      <w:hyperlink r:id="rId4" w:history="1">
        <w:r w:rsidRPr="00DF0AA1">
          <w:rPr>
            <w:rStyle w:val="Hyperlink"/>
            <w:i/>
            <w:iCs/>
          </w:rPr>
          <w:t>Common ownership by institutional investors and its impact on competition</w:t>
        </w:r>
      </w:hyperlink>
      <w:r>
        <w:t>, OECD, 2017, p 16, accessed 31 July 2024.</w:t>
      </w:r>
    </w:p>
  </w:footnote>
  <w:footnote w:id="6">
    <w:p w14:paraId="0FEA5997" w14:textId="77777777" w:rsidR="00692792" w:rsidDel="00FB31BF" w:rsidRDefault="00692792" w:rsidP="00692792">
      <w:pPr>
        <w:pStyle w:val="FootnoteText"/>
      </w:pPr>
      <w:r w:rsidDel="00FB31BF">
        <w:rPr>
          <w:rStyle w:val="FootnoteReference"/>
        </w:rPr>
        <w:footnoteRef/>
      </w:r>
      <w:r w:rsidDel="00FB31BF">
        <w:t xml:space="preserve"> </w:t>
      </w:r>
      <w:r w:rsidDel="00FB31BF">
        <w:tab/>
      </w:r>
      <w:hyperlink r:id="rId5" w:history="1">
        <w:r w:rsidRPr="00CC79F1" w:rsidDel="00FB31BF">
          <w:rPr>
            <w:rStyle w:val="Hyperlink"/>
            <w:i/>
            <w:iCs/>
          </w:rPr>
          <w:t>Council Regulation (EC) No 139/2004 of 20 January 2004 on the control of concentrations between undertakings</w:t>
        </w:r>
      </w:hyperlink>
      <w:r w:rsidDel="00FB31BF">
        <w:rPr>
          <w:i/>
          <w:iCs/>
        </w:rPr>
        <w:t xml:space="preserve"> </w:t>
      </w:r>
      <w:r w:rsidRPr="008F46EA" w:rsidDel="00FB31BF">
        <w:t>[</w:t>
      </w:r>
      <w:r w:rsidDel="00FB31BF">
        <w:t>2004] OJ L 24/</w:t>
      </w:r>
      <w:r w:rsidRPr="008F46EA" w:rsidDel="00FB31BF">
        <w:t>1</w:t>
      </w:r>
      <w:r w:rsidDel="00FB31BF">
        <w:t>, art 3(2)</w:t>
      </w:r>
      <w:r w:rsidRPr="008F46EA" w:rsidDel="00FB31BF">
        <w:t xml:space="preserve"> </w:t>
      </w:r>
      <w:r w:rsidDel="00FB31BF">
        <w:t>(‘</w:t>
      </w:r>
      <w:r w:rsidRPr="008F46EA" w:rsidDel="00FB31BF">
        <w:rPr>
          <w:i/>
          <w:iCs/>
        </w:rPr>
        <w:t>European Union Merger Regulation</w:t>
      </w:r>
      <w:r w:rsidDel="00FB31BF">
        <w:t xml:space="preserve">’); </w:t>
      </w:r>
      <w:hyperlink r:id="rId6" w:history="1">
        <w:r w:rsidRPr="00AC12DD" w:rsidDel="00FB31BF">
          <w:rPr>
            <w:rStyle w:val="Hyperlink"/>
            <w:i/>
            <w:iCs/>
          </w:rPr>
          <w:t>Commission Consolidated Jurisdictional Notice under Council Regulation (EC) No 139/2004 on the control of concentrations between undertakings</w:t>
        </w:r>
      </w:hyperlink>
      <w:r w:rsidDel="00FB31BF">
        <w:t xml:space="preserve"> [2008] OJ C 95/1, paras 54 and 62.</w:t>
      </w:r>
    </w:p>
  </w:footnote>
  <w:footnote w:id="7">
    <w:p w14:paraId="2C7BA942" w14:textId="77777777" w:rsidR="00692792" w:rsidDel="007561AA" w:rsidRDefault="00692792" w:rsidP="00692792">
      <w:pPr>
        <w:pStyle w:val="FootnoteText"/>
      </w:pPr>
      <w:r w:rsidDel="007561AA">
        <w:rPr>
          <w:rStyle w:val="FootnoteReference"/>
        </w:rPr>
        <w:footnoteRef/>
      </w:r>
      <w:r w:rsidDel="007561AA">
        <w:t xml:space="preserve"> </w:t>
      </w:r>
      <w:r w:rsidDel="007561AA">
        <w:tab/>
      </w:r>
      <w:r w:rsidRPr="00E27A7C" w:rsidDel="007561AA">
        <w:rPr>
          <w:i/>
          <w:iCs/>
        </w:rPr>
        <w:t>Enterprise Act 2002</w:t>
      </w:r>
      <w:r w:rsidDel="007561AA">
        <w:t xml:space="preserve"> (UK) s 26; </w:t>
      </w:r>
      <w:r w:rsidRPr="001B4CEA" w:rsidDel="007561AA">
        <w:rPr>
          <w:i/>
          <w:iCs/>
        </w:rPr>
        <w:t>Competition Act 1998</w:t>
      </w:r>
      <w:r w:rsidDel="007561AA">
        <w:t xml:space="preserve"> (South Africa) s 12(2).</w:t>
      </w:r>
    </w:p>
  </w:footnote>
  <w:footnote w:id="8">
    <w:p w14:paraId="1F1913AF" w14:textId="77777777" w:rsidR="00692792" w:rsidDel="00717578" w:rsidRDefault="00692792" w:rsidP="00692792">
      <w:pPr>
        <w:pStyle w:val="FootnoteText"/>
      </w:pPr>
      <w:r w:rsidDel="00717578">
        <w:rPr>
          <w:rStyle w:val="FootnoteReference"/>
        </w:rPr>
        <w:footnoteRef/>
      </w:r>
      <w:r w:rsidDel="00717578">
        <w:t xml:space="preserve"> </w:t>
      </w:r>
      <w:r w:rsidDel="00717578">
        <w:tab/>
        <w:t xml:space="preserve">For example, see </w:t>
      </w:r>
      <w:r w:rsidRPr="003B5053" w:rsidDel="00717578">
        <w:rPr>
          <w:i/>
          <w:iCs/>
        </w:rPr>
        <w:t>Corporations Act 2001</w:t>
      </w:r>
      <w:r w:rsidRPr="00AF5F11" w:rsidDel="00717578">
        <w:t xml:space="preserve"> (Cth)</w:t>
      </w:r>
      <w:r w:rsidDel="00717578">
        <w:t xml:space="preserve"> ss 50AA, 259E, 608 and 910B.</w:t>
      </w:r>
    </w:p>
  </w:footnote>
  <w:footnote w:id="9">
    <w:p w14:paraId="2014D7B9" w14:textId="77777777" w:rsidR="00692792" w:rsidDel="00717578" w:rsidRDefault="00692792" w:rsidP="00692792">
      <w:pPr>
        <w:pStyle w:val="FootnoteText"/>
      </w:pPr>
      <w:r w:rsidDel="00717578">
        <w:rPr>
          <w:rStyle w:val="FootnoteReference"/>
        </w:rPr>
        <w:footnoteRef/>
      </w:r>
      <w:r w:rsidDel="00717578">
        <w:t xml:space="preserve"> </w:t>
      </w:r>
      <w:r w:rsidDel="00717578">
        <w:tab/>
      </w:r>
      <w:r w:rsidRPr="003B5053" w:rsidDel="00717578">
        <w:rPr>
          <w:i/>
          <w:iCs/>
        </w:rPr>
        <w:t>Foreign Acquisitions and Takeovers Act 1975</w:t>
      </w:r>
      <w:r w:rsidRPr="003B5053" w:rsidDel="00717578">
        <w:t xml:space="preserve"> (Cth) </w:t>
      </w:r>
      <w:r w:rsidDel="00717578">
        <w:t>s 54.</w:t>
      </w:r>
    </w:p>
  </w:footnote>
  <w:footnote w:id="10">
    <w:p w14:paraId="5AA4A20E" w14:textId="77777777" w:rsidR="00692792" w:rsidDel="00717578" w:rsidRDefault="00692792" w:rsidP="00692792">
      <w:pPr>
        <w:pStyle w:val="FootnoteText"/>
      </w:pPr>
      <w:r w:rsidDel="00717578">
        <w:rPr>
          <w:rStyle w:val="FootnoteReference"/>
        </w:rPr>
        <w:footnoteRef/>
      </w:r>
      <w:r w:rsidDel="00717578">
        <w:t xml:space="preserve"> </w:t>
      </w:r>
      <w:r w:rsidDel="00717578">
        <w:tab/>
        <w:t xml:space="preserve">For example, see </w:t>
      </w:r>
      <w:r w:rsidRPr="001B4CEA" w:rsidDel="00717578">
        <w:rPr>
          <w:i/>
          <w:iCs/>
        </w:rPr>
        <w:t>Income Tax Assessment Act 1936</w:t>
      </w:r>
      <w:r w:rsidDel="00717578">
        <w:t xml:space="preserve"> (Cth) s 328-125.</w:t>
      </w:r>
    </w:p>
  </w:footnote>
  <w:footnote w:id="11">
    <w:p w14:paraId="78E9E8B8" w14:textId="77777777" w:rsidR="00692792" w:rsidDel="00717578" w:rsidRDefault="00692792" w:rsidP="00692792">
      <w:pPr>
        <w:pStyle w:val="FootnoteText"/>
      </w:pPr>
      <w:r w:rsidDel="00717578">
        <w:rPr>
          <w:rStyle w:val="FootnoteReference"/>
        </w:rPr>
        <w:footnoteRef/>
      </w:r>
      <w:r w:rsidDel="00717578">
        <w:t xml:space="preserve"> </w:t>
      </w:r>
      <w:r w:rsidDel="00717578">
        <w:tab/>
      </w:r>
      <w:r w:rsidRPr="003B5053" w:rsidDel="00717578">
        <w:rPr>
          <w:i/>
          <w:iCs/>
        </w:rPr>
        <w:t>Broadcasting Services Act 1992</w:t>
      </w:r>
      <w:r w:rsidRPr="003B5053" w:rsidDel="00717578">
        <w:t xml:space="preserve"> (Cth)</w:t>
      </w:r>
      <w:r w:rsidDel="00717578">
        <w:t xml:space="preserve"> s 6 and Schedule 1</w:t>
      </w:r>
      <w:r w:rsidRPr="003B5053" w:rsidDel="00717578">
        <w:t>.</w:t>
      </w:r>
    </w:p>
  </w:footnote>
  <w:footnote w:id="12">
    <w:p w14:paraId="5E9B81E5" w14:textId="3F825E44" w:rsidR="00057E32" w:rsidRDefault="00057E32">
      <w:pPr>
        <w:pStyle w:val="FootnoteText"/>
      </w:pPr>
      <w:r>
        <w:rPr>
          <w:rStyle w:val="FootnoteReference"/>
        </w:rPr>
        <w:footnoteRef/>
      </w:r>
      <w:r>
        <w:t xml:space="preserve"> </w:t>
      </w:r>
      <w:r>
        <w:tab/>
        <w:t>For details on the</w:t>
      </w:r>
      <w:r w:rsidR="00534BD9">
        <w:t xml:space="preserve"> proposed concept of ‘control’ in the new merger system</w:t>
      </w:r>
      <w:r>
        <w:t xml:space="preserve">, see section </w:t>
      </w:r>
      <w:r w:rsidR="001F611A">
        <w:t>51ABC</w:t>
      </w:r>
      <w:r>
        <w:t xml:space="preserve"> in the exposure draft of </w:t>
      </w:r>
      <w:r w:rsidRPr="00186D63">
        <w:t>Treasury Laws Amendment Bill 2024: Acquisitions</w:t>
      </w:r>
      <w:r>
        <w:t xml:space="preserve">, and Chapter </w:t>
      </w:r>
      <w:r w:rsidR="00B04DF8">
        <w:t>2</w:t>
      </w:r>
      <w:r>
        <w:t xml:space="preserve"> of the exposure draft explanatory materials: Treasury, </w:t>
      </w:r>
      <w:hyperlink r:id="rId7" w:history="1">
        <w:r w:rsidRPr="001555E6">
          <w:rPr>
            <w:rStyle w:val="Hyperlink"/>
            <w:i/>
            <w:iCs/>
          </w:rPr>
          <w:t>Reforming mergers and acquisitions – exposure draft</w:t>
        </w:r>
      </w:hyperlink>
      <w:r>
        <w:rPr>
          <w:rStyle w:val="Hyperlink"/>
        </w:rPr>
        <w:t xml:space="preserve">, </w:t>
      </w:r>
      <w:r w:rsidRPr="00EF156C">
        <w:rPr>
          <w:rStyle w:val="Hyperlink"/>
          <w:color w:val="auto"/>
        </w:rPr>
        <w:t>Treasury, Australian Government, 2024</w:t>
      </w:r>
      <w:r w:rsidR="00717578">
        <w:rPr>
          <w:rStyle w:val="Hyperlink"/>
          <w:color w:val="auto"/>
        </w:rPr>
        <w:t>.</w:t>
      </w:r>
    </w:p>
  </w:footnote>
  <w:footnote w:id="13">
    <w:p w14:paraId="4091E1CA" w14:textId="77777777" w:rsidR="00692792" w:rsidDel="008D4C69" w:rsidRDefault="00692792" w:rsidP="00692792">
      <w:pPr>
        <w:pStyle w:val="FootnoteText"/>
      </w:pPr>
      <w:r w:rsidDel="008D4C69">
        <w:rPr>
          <w:rStyle w:val="FootnoteReference"/>
        </w:rPr>
        <w:footnoteRef/>
      </w:r>
      <w:r w:rsidDel="008D4C69">
        <w:t xml:space="preserve"> </w:t>
      </w:r>
      <w:r w:rsidDel="008D4C69">
        <w:tab/>
        <w:t xml:space="preserve">For example, see </w:t>
      </w:r>
      <w:r w:rsidRPr="003B5053" w:rsidDel="008D4C69">
        <w:rPr>
          <w:i/>
          <w:iCs/>
        </w:rPr>
        <w:t>Foreign Acquisitions and Takeovers Act 1975</w:t>
      </w:r>
      <w:r w:rsidRPr="003B5053" w:rsidDel="008D4C69">
        <w:t xml:space="preserve"> (Cth) </w:t>
      </w:r>
      <w:r w:rsidDel="008D4C69">
        <w:t xml:space="preserve">ss 4 (definition of ‘substantial interest’) and 54(4)(b); </w:t>
      </w:r>
      <w:r w:rsidRPr="00B770A3" w:rsidDel="008D4C69">
        <w:rPr>
          <w:i/>
          <w:iCs/>
        </w:rPr>
        <w:t>Corporations Act 2001</w:t>
      </w:r>
      <w:r w:rsidDel="008D4C69">
        <w:t xml:space="preserve"> (Cth) ss 606(1)(c) and 606(2)b).</w:t>
      </w:r>
    </w:p>
  </w:footnote>
  <w:footnote w:id="14">
    <w:p w14:paraId="25C97F54" w14:textId="77777777" w:rsidR="00692792" w:rsidDel="008D4C69" w:rsidRDefault="00692792" w:rsidP="00692792">
      <w:pPr>
        <w:pStyle w:val="FootnoteText"/>
      </w:pPr>
      <w:r w:rsidDel="008D4C69">
        <w:rPr>
          <w:rStyle w:val="FootnoteReference"/>
        </w:rPr>
        <w:footnoteRef/>
      </w:r>
      <w:r w:rsidDel="008D4C69">
        <w:t xml:space="preserve"> </w:t>
      </w:r>
      <w:r w:rsidDel="008D4C69">
        <w:tab/>
        <w:t xml:space="preserve">In the European Union, changes in the quality of control (i.e. between sole and joint control, and changes in the identity of those who have joint control) may be notifiable: </w:t>
      </w:r>
      <w:hyperlink r:id="rId8" w:history="1">
        <w:r w:rsidRPr="00AC12DD" w:rsidDel="008D4C69">
          <w:rPr>
            <w:rStyle w:val="Hyperlink"/>
            <w:i/>
            <w:iCs/>
          </w:rPr>
          <w:t>Commission Consolidated Jurisdictional Notice under Council Regulation (EC) No 139/2004 on the control of concentrations between undertakings</w:t>
        </w:r>
      </w:hyperlink>
      <w:r w:rsidDel="008D4C69">
        <w:t xml:space="preserve"> [2008] OJ C 95/1, para 83.</w:t>
      </w:r>
    </w:p>
  </w:footnote>
  <w:footnote w:id="15">
    <w:p w14:paraId="07015CC3" w14:textId="43DE2F39" w:rsidR="00156F0D" w:rsidRDefault="00156F0D" w:rsidP="00156F0D">
      <w:pPr>
        <w:pStyle w:val="FootnoteText"/>
      </w:pPr>
      <w:r>
        <w:rPr>
          <w:rStyle w:val="FootnoteReference"/>
        </w:rPr>
        <w:footnoteRef/>
      </w:r>
      <w:r>
        <w:t xml:space="preserve"> </w:t>
      </w:r>
      <w:r>
        <w:tab/>
        <w:t xml:space="preserve">For details on the proposed new civil penalties, see sections 45AW and 45AZA and amendments to section 76 in the exposure draft of </w:t>
      </w:r>
      <w:r w:rsidRPr="00186D63">
        <w:t>Treasury Laws Amendment Bill 2024: Acquisitions</w:t>
      </w:r>
      <w:r>
        <w:t xml:space="preserve">, and Chapter 7 of the exposure draft explanatory materials: Treasury, </w:t>
      </w:r>
      <w:hyperlink r:id="rId9" w:history="1">
        <w:r w:rsidRPr="001555E6">
          <w:rPr>
            <w:rStyle w:val="Hyperlink"/>
            <w:i/>
            <w:iCs/>
          </w:rPr>
          <w:t>Reforming mergers and acquisitions – exposure draft</w:t>
        </w:r>
      </w:hyperlink>
      <w:r w:rsidR="00441BEF">
        <w:rPr>
          <w:rStyle w:val="Hyperlink"/>
        </w:rPr>
        <w:t>,</w:t>
      </w:r>
      <w:r w:rsidR="00187595">
        <w:rPr>
          <w:rStyle w:val="Hyperlink"/>
        </w:rPr>
        <w:t xml:space="preserve"> </w:t>
      </w:r>
      <w:r w:rsidR="000E50AB" w:rsidRPr="005713AA">
        <w:rPr>
          <w:rStyle w:val="Hyperlink"/>
          <w:color w:val="auto"/>
        </w:rPr>
        <w:t xml:space="preserve">Treasury, </w:t>
      </w:r>
      <w:r w:rsidR="00670263" w:rsidRPr="005713AA">
        <w:rPr>
          <w:rStyle w:val="Hyperlink"/>
          <w:color w:val="auto"/>
        </w:rPr>
        <w:t xml:space="preserve">Australian Government, </w:t>
      </w:r>
      <w:r w:rsidR="00441BEF" w:rsidRPr="005713AA">
        <w:rPr>
          <w:rStyle w:val="Hyperlink"/>
          <w:color w:val="auto"/>
        </w:rPr>
        <w:t>2024</w:t>
      </w:r>
      <w:r>
        <w:t>.</w:t>
      </w:r>
    </w:p>
  </w:footnote>
  <w:footnote w:id="16">
    <w:p w14:paraId="7F91878E" w14:textId="77777777" w:rsidR="006C69AC" w:rsidRDefault="006C69AC" w:rsidP="006C69AC">
      <w:pPr>
        <w:pStyle w:val="FootnoteText"/>
      </w:pPr>
      <w:r>
        <w:rPr>
          <w:rStyle w:val="FootnoteReference"/>
        </w:rPr>
        <w:footnoteRef/>
      </w:r>
      <w:r>
        <w:t xml:space="preserve"> </w:t>
      </w:r>
      <w:r>
        <w:tab/>
      </w:r>
      <w:r w:rsidRPr="00D7187A">
        <w:t xml:space="preserve">Treasury, </w:t>
      </w:r>
      <w:hyperlink r:id="rId10" w:history="1">
        <w:r w:rsidRPr="008A78AC">
          <w:rPr>
            <w:rStyle w:val="Hyperlink"/>
            <w:i/>
          </w:rPr>
          <w:t>Merger Reform: A Faster, Stronger and Simpler System for a More Competitive Economy</w:t>
        </w:r>
      </w:hyperlink>
      <w:r w:rsidRPr="00D7187A">
        <w:t xml:space="preserve">, </w:t>
      </w:r>
      <w:r>
        <w:t xml:space="preserve">Treasury, Australian Government, </w:t>
      </w:r>
      <w:r w:rsidRPr="00D7187A">
        <w:t>2024, p 6.</w:t>
      </w:r>
    </w:p>
  </w:footnote>
  <w:footnote w:id="17">
    <w:p w14:paraId="0D0A57D0" w14:textId="77777777" w:rsidR="006C69AC" w:rsidRDefault="006C69AC" w:rsidP="006C69AC">
      <w:pPr>
        <w:pStyle w:val="FootnoteText"/>
      </w:pPr>
      <w:r>
        <w:rPr>
          <w:rStyle w:val="FootnoteReference"/>
        </w:rPr>
        <w:footnoteRef/>
      </w:r>
      <w:r>
        <w:t xml:space="preserve"> </w:t>
      </w:r>
      <w:r>
        <w:tab/>
        <w:t>The</w:t>
      </w:r>
      <w:r w:rsidRPr="00911F7C">
        <w:t xml:space="preserve"> ACCC estimates that 80% to 90% of notified mergers will be cleared within 4 weeks</w:t>
      </w:r>
      <w:r>
        <w:t>. D</w:t>
      </w:r>
      <w:r w:rsidRPr="00911F7C">
        <w:t xml:space="preserve">ata compiled by the </w:t>
      </w:r>
      <w:r w:rsidRPr="007003D6">
        <w:t>Organisation for Economic Cooperation and Development</w:t>
      </w:r>
      <w:r>
        <w:t xml:space="preserve"> (</w:t>
      </w:r>
      <w:r w:rsidRPr="00911F7C">
        <w:t>OECD</w:t>
      </w:r>
      <w:r>
        <w:t>)</w:t>
      </w:r>
      <w:r w:rsidRPr="00911F7C">
        <w:t xml:space="preserve"> on 60 jurisdictions that shows that 93.6% of mergers were cleared in Phase 1 (i.e. an initial review) in 2020</w:t>
      </w:r>
      <w:r>
        <w:t>: OECD,</w:t>
      </w:r>
      <w:r w:rsidDel="00F06BDE">
        <w:t xml:space="preserve"> </w:t>
      </w:r>
      <w:hyperlink r:id="rId11" w:history="1">
        <w:r w:rsidRPr="00E370DB">
          <w:rPr>
            <w:rStyle w:val="Hyperlink"/>
            <w:i/>
            <w:iCs/>
          </w:rPr>
          <w:t>Competition Trends 2022</w:t>
        </w:r>
      </w:hyperlink>
      <w:r>
        <w:t>, OECD, 2022, p 79, accessed 31 July 2024.</w:t>
      </w:r>
    </w:p>
  </w:footnote>
  <w:footnote w:id="18">
    <w:p w14:paraId="150A0DAF" w14:textId="111A0433" w:rsidR="00ED3CFA" w:rsidRDefault="00ED3CFA">
      <w:pPr>
        <w:pStyle w:val="FootnoteText"/>
      </w:pPr>
      <w:r>
        <w:rPr>
          <w:rStyle w:val="FootnoteReference"/>
        </w:rPr>
        <w:footnoteRef/>
      </w:r>
      <w:r>
        <w:t xml:space="preserve"> </w:t>
      </w:r>
      <w:r>
        <w:tab/>
        <w:t>Under the Government’s proposed reforms, the ACCC will be able to take enforcement action in relation to anti</w:t>
      </w:r>
      <w:r>
        <w:noBreakHyphen/>
        <w:t xml:space="preserve">competitive acquisitions that fall below the thresholds under other provisions of the </w:t>
      </w:r>
      <w:r w:rsidRPr="2C698828">
        <w:rPr>
          <w:i/>
          <w:iCs/>
        </w:rPr>
        <w:t>Competition and Consumer Act 2010</w:t>
      </w:r>
      <w:r>
        <w:t xml:space="preserve"> (Cth), which prohibit anti</w:t>
      </w:r>
      <w:r>
        <w:noBreakHyphen/>
        <w:t>competitive conduct.</w:t>
      </w:r>
    </w:p>
  </w:footnote>
  <w:footnote w:id="19">
    <w:p w14:paraId="61E51206" w14:textId="5D12EEC8" w:rsidR="00156F0D" w:rsidRDefault="00156F0D" w:rsidP="00156F0D">
      <w:pPr>
        <w:pStyle w:val="FootnoteText"/>
      </w:pPr>
      <w:r>
        <w:rPr>
          <w:rStyle w:val="FootnoteReference"/>
        </w:rPr>
        <w:footnoteRef/>
      </w:r>
      <w:r>
        <w:t xml:space="preserve"> </w:t>
      </w:r>
      <w:r>
        <w:tab/>
        <w:t>OECD</w:t>
      </w:r>
      <w:r w:rsidR="002F1F67">
        <w:t>,</w:t>
      </w:r>
      <w:r>
        <w:t xml:space="preserve"> </w:t>
      </w:r>
      <w:hyperlink r:id="rId12" w:history="1">
        <w:r w:rsidRPr="00865213">
          <w:rPr>
            <w:rStyle w:val="Hyperlink"/>
            <w:i/>
            <w:iCs/>
          </w:rPr>
          <w:t>Assessment of Merger Control in Chile</w:t>
        </w:r>
      </w:hyperlink>
      <w:r>
        <w:t>, OECD,</w:t>
      </w:r>
      <w:r w:rsidR="002F1F67">
        <w:t xml:space="preserve"> 2014,</w:t>
      </w:r>
      <w:r>
        <w:t xml:space="preserve"> p 80.</w:t>
      </w:r>
    </w:p>
  </w:footnote>
  <w:footnote w:id="20">
    <w:p w14:paraId="037B4BBE" w14:textId="24ACFBBA" w:rsidR="00156F0D" w:rsidRDefault="00156F0D" w:rsidP="00156F0D">
      <w:pPr>
        <w:pStyle w:val="FootnoteText"/>
      </w:pPr>
      <w:r>
        <w:rPr>
          <w:rStyle w:val="FootnoteReference"/>
        </w:rPr>
        <w:footnoteRef/>
      </w:r>
      <w:r>
        <w:t xml:space="preserve"> </w:t>
      </w:r>
      <w:r>
        <w:tab/>
        <w:t>The International Competition Network recommends setting goals for thresholds: ICN</w:t>
      </w:r>
      <w:r w:rsidR="002F1F67">
        <w:t>,</w:t>
      </w:r>
      <w:r w:rsidDel="002F1F67">
        <w:t xml:space="preserve"> </w:t>
      </w:r>
      <w:hyperlink r:id="rId13" w:history="1">
        <w:r w:rsidRPr="000259A7">
          <w:rPr>
            <w:rStyle w:val="Hyperlink"/>
            <w:i/>
            <w:iCs/>
          </w:rPr>
          <w:t>Setting Notification Thresholds for Merger Review</w:t>
        </w:r>
      </w:hyperlink>
      <w:r>
        <w:t xml:space="preserve">, </w:t>
      </w:r>
      <w:r w:rsidR="000E50AB">
        <w:t xml:space="preserve">ICN, </w:t>
      </w:r>
      <w:r w:rsidR="002F1F67">
        <w:t xml:space="preserve">2008, </w:t>
      </w:r>
      <w:r>
        <w:t>p 2.</w:t>
      </w:r>
    </w:p>
  </w:footnote>
  <w:footnote w:id="21">
    <w:p w14:paraId="679EEBB4" w14:textId="3AF96195" w:rsidR="00156F0D" w:rsidRDefault="00156F0D" w:rsidP="00156F0D">
      <w:pPr>
        <w:pStyle w:val="FootnoteText"/>
      </w:pPr>
      <w:r>
        <w:rPr>
          <w:rStyle w:val="FootnoteReference"/>
        </w:rPr>
        <w:footnoteRef/>
      </w:r>
      <w:r>
        <w:t xml:space="preserve"> </w:t>
      </w:r>
      <w:r>
        <w:tab/>
        <w:t>O Ashenfelter, A Hosken &amp; M Weinberg</w:t>
      </w:r>
      <w:r w:rsidR="00321EF0">
        <w:t>,</w:t>
      </w:r>
      <w:r>
        <w:t xml:space="preserve"> 2014, </w:t>
      </w:r>
      <w:r w:rsidRPr="00CD2900">
        <w:rPr>
          <w:i/>
          <w:iCs/>
        </w:rPr>
        <w:t>‘</w:t>
      </w:r>
      <w:hyperlink r:id="rId14" w:history="1">
        <w:r w:rsidRPr="00CD2900">
          <w:rPr>
            <w:rStyle w:val="Hyperlink"/>
            <w:i/>
            <w:iCs/>
          </w:rPr>
          <w:t>Did Robert Bork Understate the Competitive Impact of Mergers? Evidence from Consummated Mergers</w:t>
        </w:r>
      </w:hyperlink>
      <w:r w:rsidRPr="00CD2900">
        <w:rPr>
          <w:i/>
          <w:iCs/>
        </w:rPr>
        <w:t>’</w:t>
      </w:r>
      <w:r>
        <w:t xml:space="preserve">, </w:t>
      </w:r>
      <w:r w:rsidRPr="00B7691E">
        <w:rPr>
          <w:i/>
        </w:rPr>
        <w:t>Journal of Law and Economics</w:t>
      </w:r>
      <w:r w:rsidR="00282F6C">
        <w:t>,</w:t>
      </w:r>
      <w:r>
        <w:t xml:space="preserve"> 57(S3), S67-S100</w:t>
      </w:r>
      <w:r w:rsidR="00665F27">
        <w:t>;</w:t>
      </w:r>
      <w:r w:rsidR="00127441">
        <w:t xml:space="preserve"> See also </w:t>
      </w:r>
      <w:r w:rsidR="005E06AD">
        <w:t xml:space="preserve">Stiebale and </w:t>
      </w:r>
      <w:r w:rsidR="00665F27">
        <w:t>S</w:t>
      </w:r>
      <w:r w:rsidR="00665F27" w:rsidRPr="00665F27">
        <w:t>zücs</w:t>
      </w:r>
      <w:r w:rsidR="005E06AD">
        <w:t xml:space="preserve"> (2022)</w:t>
      </w:r>
      <w:r w:rsidR="00665F27">
        <w:t xml:space="preserve"> who found that merger rivals increase their markups </w:t>
      </w:r>
      <w:r w:rsidR="00A56D18">
        <w:t xml:space="preserve">following a merger and this </w:t>
      </w:r>
      <w:r w:rsidR="00786C52">
        <w:t>increase is larger in more concentrated markets</w:t>
      </w:r>
      <w:r w:rsidR="00307965">
        <w:t>:</w:t>
      </w:r>
      <w:r w:rsidR="00307965" w:rsidRPr="00307965">
        <w:t xml:space="preserve"> </w:t>
      </w:r>
      <w:r w:rsidR="00307965" w:rsidRPr="0017187D">
        <w:t>J Stiebale &amp; F Szücs</w:t>
      </w:r>
      <w:r w:rsidR="00307965">
        <w:t>,</w:t>
      </w:r>
      <w:r w:rsidR="00307965" w:rsidRPr="0017187D">
        <w:t xml:space="preserve"> 2022, </w:t>
      </w:r>
      <w:r w:rsidR="00307965" w:rsidRPr="00CD2900">
        <w:rPr>
          <w:i/>
          <w:iCs/>
        </w:rPr>
        <w:t>‘</w:t>
      </w:r>
      <w:hyperlink r:id="rId15" w:history="1">
        <w:r w:rsidR="00307965" w:rsidRPr="00CD2900">
          <w:rPr>
            <w:rStyle w:val="Hyperlink"/>
            <w:i/>
            <w:iCs/>
          </w:rPr>
          <w:t>Mergers and market power: evidence from rivals' responses in European markets</w:t>
        </w:r>
      </w:hyperlink>
      <w:r w:rsidR="00307965" w:rsidRPr="00CD2900">
        <w:rPr>
          <w:i/>
          <w:iCs/>
        </w:rPr>
        <w:t>’</w:t>
      </w:r>
      <w:r w:rsidR="00307965">
        <w:t>,</w:t>
      </w:r>
      <w:r w:rsidR="00307965" w:rsidRPr="0017187D">
        <w:t xml:space="preserve"> </w:t>
      </w:r>
      <w:r w:rsidR="00307965" w:rsidRPr="00200955">
        <w:rPr>
          <w:i/>
          <w:iCs/>
        </w:rPr>
        <w:t>RAND Journal of Economics</w:t>
      </w:r>
      <w:r w:rsidR="00307965" w:rsidRPr="00200955">
        <w:t>, 53</w:t>
      </w:r>
      <w:r w:rsidR="00307965">
        <w:t>(4), 678-702</w:t>
      </w:r>
      <w:r w:rsidR="00786C52">
        <w:t>.</w:t>
      </w:r>
    </w:p>
  </w:footnote>
  <w:footnote w:id="22">
    <w:p w14:paraId="149B4CD9" w14:textId="1C82B70B" w:rsidR="00156F0D" w:rsidRDefault="00156F0D" w:rsidP="00156F0D">
      <w:pPr>
        <w:pStyle w:val="FootnoteText"/>
      </w:pPr>
      <w:r>
        <w:rPr>
          <w:rStyle w:val="FootnoteReference"/>
        </w:rPr>
        <w:footnoteRef/>
      </w:r>
      <w:r>
        <w:t xml:space="preserve"> </w:t>
      </w:r>
      <w:r>
        <w:tab/>
        <w:t>OECD</w:t>
      </w:r>
      <w:r w:rsidR="00C77B6E">
        <w:t>,</w:t>
      </w:r>
      <w:r>
        <w:t xml:space="preserve"> </w:t>
      </w:r>
      <w:hyperlink r:id="rId16" w:history="1">
        <w:r w:rsidRPr="007003D6">
          <w:rPr>
            <w:rStyle w:val="Hyperlink"/>
            <w:i/>
            <w:iCs/>
          </w:rPr>
          <w:t>Serial Acquisitions and Industry Roll-ups</w:t>
        </w:r>
      </w:hyperlink>
      <w:r>
        <w:t xml:space="preserve">, OECD, </w:t>
      </w:r>
      <w:r w:rsidR="00C77B6E">
        <w:t xml:space="preserve">2023, </w:t>
      </w:r>
      <w:r>
        <w:t>p 13, accessed 31 July 2024.</w:t>
      </w:r>
    </w:p>
  </w:footnote>
  <w:footnote w:id="23">
    <w:p w14:paraId="31EB2CF5" w14:textId="20CC86DF" w:rsidR="00F25ABD" w:rsidRDefault="00F25ABD">
      <w:pPr>
        <w:pStyle w:val="FootnoteText"/>
      </w:pPr>
      <w:r>
        <w:rPr>
          <w:rStyle w:val="FootnoteReference"/>
        </w:rPr>
        <w:footnoteRef/>
      </w:r>
      <w:r>
        <w:t xml:space="preserve"> </w:t>
      </w:r>
      <w:r w:rsidR="00340B16">
        <w:tab/>
      </w:r>
      <w:r w:rsidR="004753B1">
        <w:t xml:space="preserve">OECD, </w:t>
      </w:r>
      <w:hyperlink r:id="rId17" w:history="1">
        <w:r w:rsidR="004753B1" w:rsidRPr="007B7562">
          <w:rPr>
            <w:rStyle w:val="Hyperlink"/>
            <w:i/>
            <w:iCs/>
          </w:rPr>
          <w:t>OECD Economic Surveys</w:t>
        </w:r>
        <w:r w:rsidR="000E50AB">
          <w:rPr>
            <w:rStyle w:val="Hyperlink"/>
            <w:i/>
            <w:iCs/>
          </w:rPr>
          <w:t>: Australia 2023</w:t>
        </w:r>
      </w:hyperlink>
      <w:r w:rsidR="004753B1">
        <w:t>,</w:t>
      </w:r>
      <w:r w:rsidR="00C77B6E">
        <w:t xml:space="preserve"> OECD,</w:t>
      </w:r>
      <w:r w:rsidR="004753B1">
        <w:t xml:space="preserve"> 2023, p 57, accessed 28 October 2023.</w:t>
      </w:r>
    </w:p>
  </w:footnote>
  <w:footnote w:id="24">
    <w:p w14:paraId="6EDE25F3" w14:textId="2B98E60D" w:rsidR="0D6D23E4" w:rsidRDefault="0D6D23E4" w:rsidP="0D6D23E4">
      <w:pPr>
        <w:pStyle w:val="FootnoteText"/>
      </w:pPr>
      <w:r w:rsidRPr="0D6D23E4">
        <w:rPr>
          <w:rStyle w:val="FootnoteReference"/>
        </w:rPr>
        <w:footnoteRef/>
      </w:r>
      <w:r>
        <w:t xml:space="preserve"> </w:t>
      </w:r>
      <w:r>
        <w:tab/>
        <w:t>OECD</w:t>
      </w:r>
      <w:r w:rsidR="00C77B6E">
        <w:t>,</w:t>
      </w:r>
      <w:r w:rsidDel="00C77B6E">
        <w:t xml:space="preserve"> </w:t>
      </w:r>
      <w:hyperlink r:id="rId18">
        <w:r w:rsidRPr="0D6D23E4">
          <w:rPr>
            <w:rStyle w:val="Hyperlink"/>
            <w:i/>
            <w:iCs/>
          </w:rPr>
          <w:t>Start-ups, Killer Acquisitions and Merger Control – Background Note</w:t>
        </w:r>
      </w:hyperlink>
      <w:r>
        <w:t xml:space="preserve">, OECD, </w:t>
      </w:r>
      <w:r w:rsidR="00C77B6E">
        <w:t xml:space="preserve">2020, </w:t>
      </w:r>
      <w:r>
        <w:t>p 5, accessed 31 July 2024.</w:t>
      </w:r>
    </w:p>
  </w:footnote>
  <w:footnote w:id="25">
    <w:p w14:paraId="39248E7B" w14:textId="4FA4DD5E" w:rsidR="0D6D23E4" w:rsidRDefault="0D6D23E4" w:rsidP="0D6D23E4">
      <w:pPr>
        <w:pStyle w:val="FootnoteText"/>
      </w:pPr>
      <w:r w:rsidRPr="0D6D23E4">
        <w:rPr>
          <w:rStyle w:val="FootnoteReference"/>
        </w:rPr>
        <w:footnoteRef/>
      </w:r>
      <w:r>
        <w:t xml:space="preserve"> </w:t>
      </w:r>
      <w:r>
        <w:tab/>
        <w:t>OECD</w:t>
      </w:r>
      <w:r w:rsidR="00C77B6E">
        <w:t>,</w:t>
      </w:r>
      <w:r w:rsidDel="00C77B6E">
        <w:t xml:space="preserve"> </w:t>
      </w:r>
      <w:hyperlink r:id="rId19">
        <w:r w:rsidRPr="0D6D23E4">
          <w:rPr>
            <w:rStyle w:val="Hyperlink"/>
            <w:i/>
            <w:iCs/>
          </w:rPr>
          <w:t>Start-ups, Killer Acquisitions and Merger Control</w:t>
        </w:r>
      </w:hyperlink>
      <w:r w:rsidRPr="0D6D23E4">
        <w:rPr>
          <w:rStyle w:val="Hyperlink"/>
          <w:i/>
          <w:iCs/>
        </w:rPr>
        <w:t xml:space="preserve"> – Background Note</w:t>
      </w:r>
      <w:r>
        <w:t xml:space="preserve">, OECD, </w:t>
      </w:r>
      <w:r w:rsidR="00C77B6E">
        <w:t xml:space="preserve">2020, </w:t>
      </w:r>
      <w:r>
        <w:t>p 8.</w:t>
      </w:r>
    </w:p>
  </w:footnote>
  <w:footnote w:id="26">
    <w:p w14:paraId="450E3910" w14:textId="0EA09B44" w:rsidR="0D6D23E4" w:rsidRDefault="0D6D23E4" w:rsidP="0D6D23E4">
      <w:pPr>
        <w:pStyle w:val="FootnoteText"/>
      </w:pPr>
      <w:r w:rsidRPr="0D6D23E4">
        <w:rPr>
          <w:rStyle w:val="FootnoteReference"/>
        </w:rPr>
        <w:footnoteRef/>
      </w:r>
      <w:r>
        <w:t xml:space="preserve"> </w:t>
      </w:r>
      <w:r>
        <w:tab/>
        <w:t xml:space="preserve">C Cunningham, F Ederer &amp; S Ma, </w:t>
      </w:r>
      <w:r w:rsidRPr="00CD2900">
        <w:rPr>
          <w:i/>
          <w:iCs/>
        </w:rPr>
        <w:t>‘</w:t>
      </w:r>
      <w:hyperlink r:id="rId20">
        <w:r w:rsidRPr="00CD2900">
          <w:rPr>
            <w:rStyle w:val="Hyperlink"/>
            <w:i/>
            <w:iCs/>
          </w:rPr>
          <w:t>Killer Acquisitions</w:t>
        </w:r>
      </w:hyperlink>
      <w:r w:rsidRPr="00CD2900">
        <w:rPr>
          <w:i/>
          <w:iCs/>
        </w:rPr>
        <w:t>’</w:t>
      </w:r>
      <w:r>
        <w:t xml:space="preserve">, </w:t>
      </w:r>
      <w:r w:rsidRPr="00B7691E">
        <w:rPr>
          <w:i/>
        </w:rPr>
        <w:t>Journal of Political Economy</w:t>
      </w:r>
      <w:r>
        <w:t xml:space="preserve">, </w:t>
      </w:r>
      <w:r w:rsidR="00CF4D97">
        <w:t xml:space="preserve">2021, </w:t>
      </w:r>
      <w:r>
        <w:t>vol. 129(3), 649-702, University of Chicago Press.</w:t>
      </w:r>
    </w:p>
  </w:footnote>
  <w:footnote w:id="27">
    <w:p w14:paraId="7486970C" w14:textId="382A698B" w:rsidR="00BC45DD" w:rsidRDefault="00BC45DD">
      <w:pPr>
        <w:pStyle w:val="FootnoteText"/>
      </w:pPr>
      <w:r>
        <w:rPr>
          <w:rStyle w:val="FootnoteReference"/>
        </w:rPr>
        <w:footnoteRef/>
      </w:r>
      <w:r>
        <w:t xml:space="preserve"> </w:t>
      </w:r>
      <w:r w:rsidR="00340B16">
        <w:tab/>
      </w:r>
      <w:r w:rsidR="0017187D" w:rsidRPr="0017187D">
        <w:t>J Stiebale &amp; F Szücs</w:t>
      </w:r>
      <w:r w:rsidR="009E4CE2">
        <w:t>,</w:t>
      </w:r>
      <w:r w:rsidR="0017187D" w:rsidRPr="0017187D">
        <w:t xml:space="preserve"> 2022, </w:t>
      </w:r>
      <w:r w:rsidR="0017187D" w:rsidRPr="00CD2900">
        <w:rPr>
          <w:i/>
          <w:iCs/>
        </w:rPr>
        <w:t>‘</w:t>
      </w:r>
      <w:hyperlink r:id="rId21" w:history="1">
        <w:r w:rsidR="0017187D" w:rsidRPr="00CD2900">
          <w:rPr>
            <w:rStyle w:val="Hyperlink"/>
            <w:i/>
            <w:iCs/>
          </w:rPr>
          <w:t>Mergers and market power: evidence from rivals' responses in European markets</w:t>
        </w:r>
      </w:hyperlink>
      <w:r w:rsidR="0017187D" w:rsidRPr="00CD2900">
        <w:rPr>
          <w:i/>
          <w:iCs/>
        </w:rPr>
        <w:t>’</w:t>
      </w:r>
      <w:r w:rsidR="009E4CE2">
        <w:t>,</w:t>
      </w:r>
      <w:r w:rsidR="0017187D" w:rsidRPr="0017187D">
        <w:t xml:space="preserve"> </w:t>
      </w:r>
      <w:r w:rsidR="0017187D" w:rsidRPr="00200955">
        <w:rPr>
          <w:i/>
        </w:rPr>
        <w:t>RAND Journal of Economics</w:t>
      </w:r>
      <w:r w:rsidR="00922317" w:rsidRPr="00200955">
        <w:t>, 53</w:t>
      </w:r>
      <w:r w:rsidR="00922317">
        <w:t>(4), 678-702</w:t>
      </w:r>
      <w:r w:rsidR="0017187D">
        <w:t>.</w:t>
      </w:r>
    </w:p>
  </w:footnote>
  <w:footnote w:id="28">
    <w:p w14:paraId="56A3E4AC" w14:textId="51187ACF" w:rsidR="001E4B0A" w:rsidRDefault="001E4B0A">
      <w:pPr>
        <w:pStyle w:val="FootnoteText"/>
      </w:pPr>
      <w:r>
        <w:rPr>
          <w:rStyle w:val="FootnoteReference"/>
        </w:rPr>
        <w:footnoteRef/>
      </w:r>
      <w:r>
        <w:t xml:space="preserve"> </w:t>
      </w:r>
      <w:r w:rsidR="00340B16">
        <w:tab/>
      </w:r>
      <w:r w:rsidR="00A94AAC">
        <w:t>A Collard-Wexler,</w:t>
      </w:r>
      <w:r w:rsidR="000F310D">
        <w:t xml:space="preserve"> </w:t>
      </w:r>
      <w:r w:rsidR="00A94AAC">
        <w:t>‘</w:t>
      </w:r>
      <w:hyperlink r:id="rId22" w:history="1">
        <w:r w:rsidR="00A94AAC" w:rsidRPr="007B7562">
          <w:rPr>
            <w:rStyle w:val="Hyperlink"/>
            <w:i/>
            <w:iCs/>
          </w:rPr>
          <w:t>Mergers and Sunk Costs: An Application to the Ready-Mix Concrete Industry</w:t>
        </w:r>
      </w:hyperlink>
      <w:r w:rsidR="00A94AAC">
        <w:t xml:space="preserve">’, </w:t>
      </w:r>
      <w:r w:rsidR="00A94AAC" w:rsidRPr="00CB4FEC">
        <w:rPr>
          <w:i/>
        </w:rPr>
        <w:t>American Economic Journal: Microeconomics</w:t>
      </w:r>
      <w:r w:rsidR="00A94AAC">
        <w:t>, 2014, 6(4): 407-447, doi:10.1257/mic.6.4.407</w:t>
      </w:r>
    </w:p>
  </w:footnote>
  <w:footnote w:id="29">
    <w:p w14:paraId="6A4CD80A" w14:textId="5A83ED92" w:rsidR="00CF4D97" w:rsidRDefault="00CF4D97">
      <w:pPr>
        <w:pStyle w:val="FootnoteText"/>
      </w:pPr>
      <w:r>
        <w:rPr>
          <w:rStyle w:val="FootnoteReference"/>
        </w:rPr>
        <w:footnoteRef/>
      </w:r>
      <w:r>
        <w:t xml:space="preserve"> </w:t>
      </w:r>
      <w:r>
        <w:tab/>
        <w:t xml:space="preserve">International Competition Network (ICN), </w:t>
      </w:r>
      <w:hyperlink r:id="rId23" w:history="1">
        <w:r w:rsidRPr="003D6E4C">
          <w:rPr>
            <w:rStyle w:val="Hyperlink"/>
            <w:i/>
          </w:rPr>
          <w:t>ICN Recommended Practices for Merger Notification and Review Procedures</w:t>
        </w:r>
      </w:hyperlink>
      <w:r w:rsidRPr="003D6E4C">
        <w:t xml:space="preserve">, 2018, pp 3-5, accessed 30 July 2024; OECD, </w:t>
      </w:r>
      <w:hyperlink r:id="rId24" w:history="1">
        <w:r w:rsidRPr="003D6E4C">
          <w:rPr>
            <w:rStyle w:val="Hyperlink"/>
            <w:i/>
          </w:rPr>
          <w:t>Executive Summary of the Roundtable on Jurisdictional Nexus in Merger Control Regime</w:t>
        </w:r>
      </w:hyperlink>
      <w:r w:rsidRPr="003D6E4C">
        <w:t>,</w:t>
      </w:r>
      <w:r>
        <w:t xml:space="preserve"> 2016, p 2.</w:t>
      </w:r>
    </w:p>
  </w:footnote>
  <w:footnote w:id="30">
    <w:p w14:paraId="4DA87BA3" w14:textId="3C889277" w:rsidR="00275D3A" w:rsidRDefault="00275D3A" w:rsidP="00275D3A">
      <w:pPr>
        <w:pStyle w:val="FootnoteText"/>
      </w:pPr>
      <w:r>
        <w:rPr>
          <w:rStyle w:val="FootnoteReference"/>
        </w:rPr>
        <w:footnoteRef/>
      </w:r>
      <w:r>
        <w:t xml:space="preserve"> </w:t>
      </w:r>
      <w:r>
        <w:tab/>
      </w:r>
      <w:r w:rsidR="00EA6E2F">
        <w:t>Treasury, ‘</w:t>
      </w:r>
      <w:hyperlink r:id="rId25" w:history="1">
        <w:r w:rsidR="00EA6E2F" w:rsidRPr="001F7C2E">
          <w:rPr>
            <w:rStyle w:val="Hyperlink"/>
            <w:i/>
            <w:iCs/>
          </w:rPr>
          <w:t>Tracking mergers in Australia using worker flows</w:t>
        </w:r>
      </w:hyperlink>
      <w:r w:rsidR="00EA6E2F">
        <w:rPr>
          <w:i/>
          <w:iCs/>
        </w:rPr>
        <w:t>’</w:t>
      </w:r>
      <w:r w:rsidR="00EA6E2F">
        <w:t>, Treasury, Australian Government, 2024</w:t>
      </w:r>
      <w:r w:rsidR="00BB6494" w:rsidRPr="00C97C6D">
        <w:t>.</w:t>
      </w:r>
      <w:r w:rsidR="00201F3A" w:rsidRPr="00C97C6D" w:rsidDel="00201F3A">
        <w:t xml:space="preserve"> </w:t>
      </w:r>
      <w:r w:rsidRPr="00EA6E2F">
        <w:t>The</w:t>
      </w:r>
      <w:r>
        <w:t xml:space="preserve"> number </w:t>
      </w:r>
      <w:r w:rsidR="003C59EB">
        <w:t xml:space="preserve">of </w:t>
      </w:r>
      <w:r>
        <w:t xml:space="preserve">mergers each year is sensitive to the definition of merger that is applied, which differs somewhat across datasets. </w:t>
      </w:r>
    </w:p>
  </w:footnote>
  <w:footnote w:id="31">
    <w:p w14:paraId="2307891D" w14:textId="75D56C29" w:rsidR="00156F0D" w:rsidRDefault="00156F0D" w:rsidP="00156F0D">
      <w:pPr>
        <w:pStyle w:val="FootnoteText"/>
      </w:pPr>
      <w:r>
        <w:rPr>
          <w:rStyle w:val="FootnoteReference"/>
        </w:rPr>
        <w:footnoteRef/>
      </w:r>
      <w:r>
        <w:t xml:space="preserve"> </w:t>
      </w:r>
      <w:r>
        <w:tab/>
        <w:t>OECD</w:t>
      </w:r>
      <w:r w:rsidR="002109CC">
        <w:t>,</w:t>
      </w:r>
      <w:r>
        <w:t xml:space="preserve"> </w:t>
      </w:r>
      <w:hyperlink r:id="rId26" w:history="1">
        <w:r w:rsidRPr="00B67AB6">
          <w:rPr>
            <w:rStyle w:val="Hyperlink"/>
            <w:i/>
            <w:iCs/>
          </w:rPr>
          <w:t>Recommendation of the Council on Merger Review</w:t>
        </w:r>
      </w:hyperlink>
      <w:r>
        <w:t xml:space="preserve">, OECD, </w:t>
      </w:r>
      <w:r w:rsidR="002109CC">
        <w:t xml:space="preserve">2005, </w:t>
      </w:r>
      <w:r>
        <w:t>accessed 31 July 2024; ICN</w:t>
      </w:r>
      <w:r w:rsidR="00E04CAF">
        <w:t>,</w:t>
      </w:r>
      <w:r>
        <w:t xml:space="preserve"> </w:t>
      </w:r>
      <w:hyperlink r:id="rId27" w:history="1">
        <w:r w:rsidRPr="00B67AB6">
          <w:rPr>
            <w:rStyle w:val="Hyperlink"/>
            <w:i/>
            <w:iCs/>
          </w:rPr>
          <w:t>ICN recommended practices for merger notification and review procedures</w:t>
        </w:r>
      </w:hyperlink>
      <w:r>
        <w:t>, ICN,</w:t>
      </w:r>
      <w:r w:rsidR="00E04CAF">
        <w:t xml:space="preserve"> 2018,</w:t>
      </w:r>
      <w:r>
        <w:t xml:space="preserve"> pp 5-6, accessed 31 July 2024.</w:t>
      </w:r>
    </w:p>
  </w:footnote>
  <w:footnote w:id="32">
    <w:p w14:paraId="0E537E5A" w14:textId="465E16D2" w:rsidR="00156F0D" w:rsidRDefault="00156F0D" w:rsidP="00156F0D">
      <w:pPr>
        <w:pStyle w:val="FootnoteText"/>
      </w:pPr>
      <w:r>
        <w:rPr>
          <w:rStyle w:val="FootnoteReference"/>
        </w:rPr>
        <w:footnoteRef/>
      </w:r>
      <w:r>
        <w:t xml:space="preserve"> </w:t>
      </w:r>
      <w:r>
        <w:tab/>
        <w:t>OECD</w:t>
      </w:r>
      <w:r w:rsidR="002109CC">
        <w:t>,</w:t>
      </w:r>
      <w:r>
        <w:t xml:space="preserve"> </w:t>
      </w:r>
      <w:hyperlink r:id="rId28" w:history="1">
        <w:r w:rsidRPr="00CC7F0F">
          <w:rPr>
            <w:rStyle w:val="Hyperlink"/>
            <w:i/>
            <w:iCs/>
          </w:rPr>
          <w:t>Competition Trends</w:t>
        </w:r>
      </w:hyperlink>
      <w:r>
        <w:t xml:space="preserve">, OECD, </w:t>
      </w:r>
      <w:r w:rsidR="002109CC">
        <w:t xml:space="preserve">2022, </w:t>
      </w:r>
      <w:r>
        <w:t xml:space="preserve">p 76, accessed 31 July 2024. For example, turnover-based thresholds are used in the United States, Japan, South Korea and European Union. </w:t>
      </w:r>
      <w:r w:rsidR="00A76330">
        <w:t xml:space="preserve">Transaction value thresholds are used in Germany. </w:t>
      </w:r>
      <w:r>
        <w:t xml:space="preserve">Asset-based thresholds </w:t>
      </w:r>
      <w:r w:rsidR="00F338CA">
        <w:t>are used</w:t>
      </w:r>
      <w:r>
        <w:t xml:space="preserve"> in Canada and United States. </w:t>
      </w:r>
    </w:p>
  </w:footnote>
  <w:footnote w:id="33">
    <w:p w14:paraId="04AA0908" w14:textId="4B42BAE7" w:rsidR="0054663D" w:rsidRPr="00A51291" w:rsidRDefault="0054663D">
      <w:pPr>
        <w:pStyle w:val="FootnoteText"/>
      </w:pPr>
      <w:r>
        <w:rPr>
          <w:rStyle w:val="FootnoteReference"/>
        </w:rPr>
        <w:footnoteRef/>
      </w:r>
      <w:r>
        <w:t xml:space="preserve"> </w:t>
      </w:r>
      <w:r w:rsidR="00BC2123">
        <w:tab/>
      </w:r>
      <w:r w:rsidR="00552E70">
        <w:t>D Tam</w:t>
      </w:r>
      <w:r w:rsidR="00686CD7">
        <w:t xml:space="preserve">, </w:t>
      </w:r>
      <w:r w:rsidR="00142027">
        <w:t>‘</w:t>
      </w:r>
      <w:hyperlink r:id="rId29" w:history="1">
        <w:r w:rsidR="00816358" w:rsidRPr="0000724F">
          <w:rPr>
            <w:rStyle w:val="Hyperlink"/>
            <w:i/>
            <w:iCs/>
          </w:rPr>
          <w:t>Facebook's final Instagram tab: $715 million in cash, stock</w:t>
        </w:r>
      </w:hyperlink>
      <w:r w:rsidR="00142027">
        <w:t xml:space="preserve">’, </w:t>
      </w:r>
      <w:r w:rsidR="00142027">
        <w:rPr>
          <w:i/>
          <w:iCs/>
        </w:rPr>
        <w:t>CNET</w:t>
      </w:r>
      <w:r w:rsidR="00816358">
        <w:t>,</w:t>
      </w:r>
      <w:r w:rsidR="00142027">
        <w:t xml:space="preserve"> 24 Oct</w:t>
      </w:r>
      <w:r w:rsidR="00552E70">
        <w:t>ober</w:t>
      </w:r>
      <w:r w:rsidR="00816358">
        <w:t xml:space="preserve"> 2012</w:t>
      </w:r>
      <w:r w:rsidR="006D7386">
        <w:t>;</w:t>
      </w:r>
      <w:r w:rsidR="00816358">
        <w:t xml:space="preserve"> </w:t>
      </w:r>
      <w:r w:rsidR="00BC2123">
        <w:t>UK Office of Fair Trading (OFT)</w:t>
      </w:r>
      <w:r w:rsidR="00A51291">
        <w:t xml:space="preserve">, </w:t>
      </w:r>
      <w:hyperlink r:id="rId30" w:history="1">
        <w:r w:rsidR="00A51291" w:rsidRPr="00A51291">
          <w:rPr>
            <w:rStyle w:val="Hyperlink"/>
            <w:i/>
            <w:iCs/>
          </w:rPr>
          <w:t>Anticipated acquisition by Facebook Inc of Instagram Inc</w:t>
        </w:r>
      </w:hyperlink>
      <w:r w:rsidR="00A51291">
        <w:t>, OFT, 2012.</w:t>
      </w:r>
    </w:p>
  </w:footnote>
  <w:footnote w:id="34">
    <w:p w14:paraId="437217C9" w14:textId="3D536DF2" w:rsidR="00366CD6" w:rsidRDefault="00366CD6">
      <w:pPr>
        <w:pStyle w:val="FootnoteText"/>
      </w:pPr>
      <w:r>
        <w:rPr>
          <w:rStyle w:val="FootnoteReference"/>
        </w:rPr>
        <w:footnoteRef/>
      </w:r>
      <w:r>
        <w:t xml:space="preserve"> </w:t>
      </w:r>
      <w:r w:rsidR="00DC214B">
        <w:tab/>
      </w:r>
      <w:r>
        <w:t>For example,</w:t>
      </w:r>
      <w:r w:rsidR="00B25DFC">
        <w:t xml:space="preserve"> in Germany, no distinction is made between the domestic and overseas components of the transaction value: </w:t>
      </w:r>
      <w:r w:rsidR="00D92D6B">
        <w:t xml:space="preserve">Bundeskartellamt, </w:t>
      </w:r>
      <w:hyperlink r:id="rId31" w:history="1">
        <w:r w:rsidR="00ED5415" w:rsidRPr="00C64FDE">
          <w:rPr>
            <w:rStyle w:val="Hyperlink"/>
            <w:i/>
            <w:iCs/>
          </w:rPr>
          <w:t>Guidance on Transaction Value Thresholds for Mandatory Pre-merger Notification (section 35 (1a) GWB and Section 9 (4) KartG)</w:t>
        </w:r>
      </w:hyperlink>
      <w:r w:rsidR="00D92D6B">
        <w:t xml:space="preserve">, 2022, </w:t>
      </w:r>
      <w:r w:rsidR="00ED5415">
        <w:t>p</w:t>
      </w:r>
      <w:r w:rsidR="00D92D6B">
        <w:t xml:space="preserve"> </w:t>
      </w:r>
      <w:r w:rsidR="00ED5415">
        <w:t>11.</w:t>
      </w:r>
      <w:r>
        <w:t xml:space="preserve"> </w:t>
      </w:r>
    </w:p>
  </w:footnote>
  <w:footnote w:id="35">
    <w:p w14:paraId="3C103367" w14:textId="56DCB8D4" w:rsidR="00156F0D" w:rsidRDefault="00156F0D">
      <w:pPr>
        <w:pStyle w:val="FootnoteText"/>
      </w:pPr>
      <w:r>
        <w:rPr>
          <w:rStyle w:val="FootnoteReference"/>
        </w:rPr>
        <w:footnoteRef/>
      </w:r>
      <w:r w:rsidRPr="00D7187A">
        <w:t xml:space="preserve"> </w:t>
      </w:r>
      <w:r w:rsidR="0099693F">
        <w:tab/>
      </w:r>
      <w:r w:rsidRPr="00D7187A">
        <w:t xml:space="preserve">Treasury, </w:t>
      </w:r>
      <w:hyperlink r:id="rId32" w:history="1">
        <w:r w:rsidRPr="008A78AC">
          <w:rPr>
            <w:rStyle w:val="Hyperlink"/>
            <w:i/>
          </w:rPr>
          <w:t>Merger Reform: A Faster, Stronger and Simpler System for a More Competitive Economy</w:t>
        </w:r>
      </w:hyperlink>
      <w:r w:rsidR="00900E44" w:rsidRPr="00D7187A">
        <w:t xml:space="preserve">, </w:t>
      </w:r>
      <w:r w:rsidR="00900E44">
        <w:t xml:space="preserve">Treasury, Australian Government, </w:t>
      </w:r>
      <w:r w:rsidR="00900E44" w:rsidRPr="00D7187A">
        <w:t>2024, p 6.</w:t>
      </w:r>
    </w:p>
  </w:footnote>
  <w:footnote w:id="36">
    <w:p w14:paraId="3AC8FB79" w14:textId="32B9D778" w:rsidR="00135E06" w:rsidRDefault="00135E06" w:rsidP="00135E06">
      <w:pPr>
        <w:pStyle w:val="FootnoteText"/>
      </w:pPr>
      <w:r>
        <w:rPr>
          <w:rStyle w:val="FootnoteReference"/>
        </w:rPr>
        <w:footnoteRef/>
      </w:r>
      <w:r>
        <w:t xml:space="preserve"> </w:t>
      </w:r>
      <w:r>
        <w:tab/>
      </w:r>
      <w:r w:rsidR="00B5461F">
        <w:t>The data sources used i</w:t>
      </w:r>
      <w:r>
        <w:t>nclud</w:t>
      </w:r>
      <w:r w:rsidR="00B5461F">
        <w:t>es</w:t>
      </w:r>
      <w:r>
        <w:t xml:space="preserve"> ACCC </w:t>
      </w:r>
      <w:r w:rsidR="00FF37D9">
        <w:t xml:space="preserve">historical </w:t>
      </w:r>
      <w:r w:rsidR="00150572">
        <w:t xml:space="preserve">public </w:t>
      </w:r>
      <w:r>
        <w:t>merger review data</w:t>
      </w:r>
      <w:r w:rsidRPr="0099693F">
        <w:t>, Treasury’s Merger Database, Bloomberg, commercial property transaction data</w:t>
      </w:r>
      <w:r w:rsidR="00AB3024">
        <w:t xml:space="preserve"> and</w:t>
      </w:r>
      <w:r w:rsidRPr="0099693F">
        <w:t xml:space="preserve"> Refinitiv. However, there is substantial uncertainty with these estimates given the limitations of each dataset and the incomplete picture of acquisitions they each provide (discussed further in </w:t>
      </w:r>
      <w:r w:rsidRPr="00830183">
        <w:rPr>
          <w:b/>
          <w:bCs/>
        </w:rPr>
        <w:t>Attachment A</w:t>
      </w:r>
      <w:r w:rsidRPr="0099693F">
        <w:t>).</w:t>
      </w:r>
    </w:p>
  </w:footnote>
  <w:footnote w:id="37">
    <w:p w14:paraId="1519B72F" w14:textId="3A657CAB" w:rsidR="00156F0D" w:rsidRDefault="00156F0D" w:rsidP="00156F0D">
      <w:pPr>
        <w:pStyle w:val="FootnoteText"/>
      </w:pPr>
      <w:r>
        <w:rPr>
          <w:rStyle w:val="FootnoteReference"/>
        </w:rPr>
        <w:footnoteRef/>
      </w:r>
      <w:r>
        <w:t xml:space="preserve"> </w:t>
      </w:r>
      <w:r w:rsidR="002262F1">
        <w:tab/>
      </w:r>
      <w:r>
        <w:t>OECD</w:t>
      </w:r>
      <w:r w:rsidR="002109CC">
        <w:t>,</w:t>
      </w:r>
      <w:r>
        <w:t xml:space="preserve"> </w:t>
      </w:r>
      <w:hyperlink r:id="rId33" w:history="1">
        <w:r w:rsidRPr="00A9063B">
          <w:rPr>
            <w:rStyle w:val="Hyperlink"/>
            <w:i/>
            <w:iCs/>
          </w:rPr>
          <w:t>Assessment of merger control in the Philippines</w:t>
        </w:r>
      </w:hyperlink>
      <w:r>
        <w:t xml:space="preserve">, OECD, </w:t>
      </w:r>
      <w:r w:rsidR="002109CC">
        <w:t xml:space="preserve">2023, </w:t>
      </w:r>
      <w:r>
        <w:t>p 35, accessed 31 July 2024. See also OECD</w:t>
      </w:r>
      <w:r w:rsidR="002109CC">
        <w:t>,</w:t>
      </w:r>
      <w:r>
        <w:t xml:space="preserve"> </w:t>
      </w:r>
      <w:hyperlink r:id="rId34" w:history="1">
        <w:r w:rsidRPr="00730E31">
          <w:rPr>
            <w:rStyle w:val="Hyperlink"/>
            <w:i/>
            <w:iCs/>
          </w:rPr>
          <w:t>Assessment of merger control in Chile</w:t>
        </w:r>
      </w:hyperlink>
      <w:r>
        <w:t xml:space="preserve">, </w:t>
      </w:r>
      <w:r w:rsidR="002109CC">
        <w:t>2014,</w:t>
      </w:r>
      <w:r>
        <w:t xml:space="preserve"> pp 78-80, accessed 31 July 2024.</w:t>
      </w:r>
    </w:p>
  </w:footnote>
  <w:footnote w:id="38">
    <w:p w14:paraId="759FB6D7" w14:textId="495B99F6" w:rsidR="00156F0D" w:rsidRDefault="00156F0D" w:rsidP="00156F0D">
      <w:pPr>
        <w:pStyle w:val="FootnoteText"/>
      </w:pPr>
      <w:r>
        <w:rPr>
          <w:rStyle w:val="FootnoteReference"/>
        </w:rPr>
        <w:footnoteRef/>
      </w:r>
      <w:r>
        <w:t xml:space="preserve"> </w:t>
      </w:r>
      <w:r w:rsidR="002262F1">
        <w:tab/>
      </w:r>
      <w:r>
        <w:t>Ibid.</w:t>
      </w:r>
    </w:p>
  </w:footnote>
  <w:footnote w:id="39">
    <w:p w14:paraId="717D7AA4" w14:textId="658CD9B5" w:rsidR="00156F0D" w:rsidRDefault="00156F0D" w:rsidP="00156F0D">
      <w:pPr>
        <w:pStyle w:val="FootnoteText"/>
      </w:pPr>
      <w:r>
        <w:rPr>
          <w:rStyle w:val="FootnoteReference"/>
        </w:rPr>
        <w:footnoteRef/>
      </w:r>
      <w:r>
        <w:t xml:space="preserve"> </w:t>
      </w:r>
      <w:r w:rsidR="002262F1">
        <w:tab/>
      </w:r>
      <w:r>
        <w:t>ICN</w:t>
      </w:r>
      <w:r w:rsidR="002109CC">
        <w:t>,</w:t>
      </w:r>
      <w:r>
        <w:t xml:space="preserve"> </w:t>
      </w:r>
      <w:hyperlink r:id="rId35" w:history="1">
        <w:r w:rsidRPr="00C64FDE">
          <w:rPr>
            <w:rStyle w:val="Hyperlink"/>
            <w:i/>
            <w:iCs/>
          </w:rPr>
          <w:t>Setting Notification Thresholds for Merger Review</w:t>
        </w:r>
      </w:hyperlink>
      <w:r>
        <w:t xml:space="preserve">, </w:t>
      </w:r>
      <w:r w:rsidR="002109CC">
        <w:t xml:space="preserve">ICN, 2008, </w:t>
      </w:r>
      <w:r>
        <w:t>p 3.</w:t>
      </w:r>
    </w:p>
  </w:footnote>
  <w:footnote w:id="40">
    <w:p w14:paraId="3016F85E" w14:textId="337CB8A8" w:rsidR="00156F0D" w:rsidRDefault="00156F0D" w:rsidP="00156F0D">
      <w:pPr>
        <w:pStyle w:val="FootnoteText"/>
      </w:pPr>
      <w:r>
        <w:rPr>
          <w:rStyle w:val="FootnoteReference"/>
        </w:rPr>
        <w:footnoteRef/>
      </w:r>
      <w:r>
        <w:t xml:space="preserve"> </w:t>
      </w:r>
      <w:r w:rsidR="002262F1">
        <w:tab/>
      </w:r>
      <w:r>
        <w:t>International Monetary Fund (IMF)</w:t>
      </w:r>
      <w:r w:rsidR="002109CC">
        <w:t>,</w:t>
      </w:r>
      <w:r>
        <w:t xml:space="preserve"> </w:t>
      </w:r>
      <w:hyperlink r:id="rId36" w:history="1">
        <w:r w:rsidRPr="009F646A">
          <w:rPr>
            <w:rStyle w:val="Hyperlink"/>
            <w:i/>
            <w:iCs/>
          </w:rPr>
          <w:t>GDP, current prices</w:t>
        </w:r>
      </w:hyperlink>
      <w:r>
        <w:t xml:space="preserve">, IMF, </w:t>
      </w:r>
      <w:r w:rsidR="002109CC">
        <w:t xml:space="preserve">2024, </w:t>
      </w:r>
      <w:r>
        <w:t>accessed 2 August 2024.</w:t>
      </w:r>
    </w:p>
  </w:footnote>
  <w:footnote w:id="41">
    <w:p w14:paraId="38B6BC25" w14:textId="4E87D77C" w:rsidR="001E29CC" w:rsidRDefault="001E29CC" w:rsidP="001E29CC">
      <w:pPr>
        <w:pStyle w:val="FootnoteText"/>
      </w:pPr>
      <w:r>
        <w:rPr>
          <w:rStyle w:val="FootnoteReference"/>
        </w:rPr>
        <w:footnoteRef/>
      </w:r>
      <w:r>
        <w:t xml:space="preserve"> </w:t>
      </w:r>
      <w:r w:rsidR="005653DA">
        <w:tab/>
      </w:r>
      <w:r>
        <w:t>The ATO defines medium businesses as those with group turnover of $10 million to $250 million and reported that about 80% of these medium businesses have turnover of less than $50 million.</w:t>
      </w:r>
      <w:r w:rsidR="00DA3913">
        <w:t xml:space="preserve"> Setting a threshold of $</w:t>
      </w:r>
      <w:r w:rsidR="00A142F4">
        <w:t>4</w:t>
      </w:r>
      <w:r w:rsidR="00DA3913">
        <w:t xml:space="preserve">0 million </w:t>
      </w:r>
      <w:r w:rsidR="00A142F4">
        <w:t>likely reflects less than half of all</w:t>
      </w:r>
      <w:r w:rsidR="00DA3913">
        <w:t xml:space="preserve"> medium businesses.</w:t>
      </w:r>
      <w:r>
        <w:t xml:space="preserve"> </w:t>
      </w:r>
      <w:r w:rsidR="005F504F">
        <w:t>Australian Taxation Office (</w:t>
      </w:r>
      <w:r>
        <w:t>ATO</w:t>
      </w:r>
      <w:r w:rsidR="005F504F">
        <w:t>)</w:t>
      </w:r>
      <w:r>
        <w:t xml:space="preserve">, </w:t>
      </w:r>
      <w:hyperlink r:id="rId37" w:history="1">
        <w:r w:rsidRPr="00C64FDE">
          <w:rPr>
            <w:rStyle w:val="Hyperlink"/>
            <w:i/>
            <w:iCs/>
          </w:rPr>
          <w:t>Medium business income tax gap 2019-20: Latest estimates and trends</w:t>
        </w:r>
      </w:hyperlink>
      <w:r w:rsidR="005F504F">
        <w:t>, ATO, 2023.</w:t>
      </w:r>
    </w:p>
  </w:footnote>
  <w:footnote w:id="42">
    <w:p w14:paraId="16EFFBE2" w14:textId="229E43D8" w:rsidR="006573C7" w:rsidRPr="00D50AB4" w:rsidRDefault="006573C7">
      <w:pPr>
        <w:pStyle w:val="FootnoteText"/>
      </w:pPr>
      <w:r>
        <w:rPr>
          <w:rStyle w:val="FootnoteReference"/>
        </w:rPr>
        <w:footnoteRef/>
      </w:r>
      <w:r>
        <w:t xml:space="preserve"> </w:t>
      </w:r>
      <w:r w:rsidR="005653DA">
        <w:tab/>
      </w:r>
      <w:r>
        <w:t xml:space="preserve">The </w:t>
      </w:r>
      <w:r w:rsidR="00FB1D88">
        <w:t xml:space="preserve">extra acquisitions captured by the </w:t>
      </w:r>
      <w:r>
        <w:t xml:space="preserve">second limb </w:t>
      </w:r>
      <w:r w:rsidR="00FB1D88">
        <w:t xml:space="preserve">are </w:t>
      </w:r>
      <w:r w:rsidR="00E63909">
        <w:t xml:space="preserve">specifically </w:t>
      </w:r>
      <w:r w:rsidR="00FB1D88">
        <w:t xml:space="preserve">those </w:t>
      </w:r>
      <w:r w:rsidR="00E63909">
        <w:t xml:space="preserve">by large parties </w:t>
      </w:r>
      <w:r w:rsidR="00CD7194">
        <w:t xml:space="preserve">with $500 million turnover </w:t>
      </w:r>
      <w:r w:rsidR="00E63909">
        <w:t xml:space="preserve">of </w:t>
      </w:r>
      <w:r w:rsidR="00333D12">
        <w:t xml:space="preserve">targets </w:t>
      </w:r>
      <w:r w:rsidR="00CD7194">
        <w:t xml:space="preserve">with </w:t>
      </w:r>
      <w:r w:rsidR="00333D12">
        <w:t>$10–$</w:t>
      </w:r>
      <w:r w:rsidR="00D01DA5">
        <w:t>4</w:t>
      </w:r>
      <w:r w:rsidR="00333D12">
        <w:t>0 million turnover</w:t>
      </w:r>
      <w:r w:rsidR="0052141A">
        <w:t xml:space="preserve"> </w:t>
      </w:r>
      <w:r w:rsidR="00D01DA5">
        <w:t>or $</w:t>
      </w:r>
      <w:r w:rsidR="008B3C4E">
        <w:t>50-</w:t>
      </w:r>
      <w:r w:rsidR="003F11E8">
        <w:t>$200 million</w:t>
      </w:r>
      <w:r w:rsidR="00333D12">
        <w:t xml:space="preserve"> transaction value, as any acquisition of a target </w:t>
      </w:r>
      <w:r w:rsidR="008D4E5D">
        <w:t xml:space="preserve">with turnover </w:t>
      </w:r>
      <w:r w:rsidR="00333D12">
        <w:t>above $</w:t>
      </w:r>
      <w:r w:rsidR="008D4E5D">
        <w:t xml:space="preserve">40 </w:t>
      </w:r>
      <w:r w:rsidR="00333D12">
        <w:t xml:space="preserve">million </w:t>
      </w:r>
      <w:r w:rsidR="003019BD">
        <w:t>or transaction value above $200 million</w:t>
      </w:r>
      <w:r w:rsidR="00333D12">
        <w:t xml:space="preserve"> would already be captured by the first limb</w:t>
      </w:r>
      <w:r w:rsidR="00B603F1">
        <w:t xml:space="preserve">. </w:t>
      </w:r>
      <w:r w:rsidR="00860812">
        <w:t>In 2021</w:t>
      </w:r>
      <w:r w:rsidR="00860812">
        <w:noBreakHyphen/>
        <w:t xml:space="preserve">22, there were 867 </w:t>
      </w:r>
      <w:r w:rsidR="00872016">
        <w:t xml:space="preserve">companies </w:t>
      </w:r>
      <w:r w:rsidR="003E4470">
        <w:t>(Australian public and foreign</w:t>
      </w:r>
      <w:r w:rsidR="003E4470">
        <w:noBreakHyphen/>
        <w:t>owned corporate tax entities and Australian</w:t>
      </w:r>
      <w:r w:rsidR="003E4470">
        <w:noBreakHyphen/>
        <w:t xml:space="preserve">owned resident private companies) </w:t>
      </w:r>
      <w:r w:rsidR="00872016">
        <w:t>with at least $500 million in turnover.</w:t>
      </w:r>
      <w:r w:rsidR="00D62A6C">
        <w:t xml:space="preserve"> </w:t>
      </w:r>
      <w:r w:rsidR="002548DF">
        <w:t xml:space="preserve">Treasury recognises that this excludes the impact of joint ventures between companies with turnover of less than $500 million but which in aggregate will have turnover of more than $500 million. </w:t>
      </w:r>
      <w:r w:rsidR="00D62A6C">
        <w:t xml:space="preserve">Australian Taxation Office (ATO), </w:t>
      </w:r>
      <w:hyperlink r:id="rId38" w:history="1">
        <w:r w:rsidR="00D50AB4" w:rsidRPr="00B4512C">
          <w:rPr>
            <w:rStyle w:val="Hyperlink"/>
            <w:i/>
            <w:iCs/>
          </w:rPr>
          <w:t>2021-22 Report of Entity Tax Information</w:t>
        </w:r>
      </w:hyperlink>
      <w:r w:rsidR="00D50AB4">
        <w:t>, ATO, 202</w:t>
      </w:r>
      <w:r w:rsidR="00B84AB5">
        <w:t>3.</w:t>
      </w:r>
      <w:r w:rsidR="00D10675">
        <w:t xml:space="preserve"> </w:t>
      </w:r>
    </w:p>
  </w:footnote>
  <w:footnote w:id="43">
    <w:p w14:paraId="5A00E432" w14:textId="06B6267E" w:rsidR="00F079B6" w:rsidRPr="00E04661" w:rsidRDefault="00F079B6" w:rsidP="00F079B6">
      <w:pPr>
        <w:pStyle w:val="FootnoteText"/>
      </w:pPr>
      <w:r>
        <w:rPr>
          <w:rStyle w:val="FootnoteReference"/>
        </w:rPr>
        <w:footnoteRef/>
      </w:r>
      <w:r>
        <w:t xml:space="preserve"> </w:t>
      </w:r>
      <w:r w:rsidR="005653DA">
        <w:tab/>
      </w:r>
      <w:r>
        <w:t xml:space="preserve">The ATO defines small businesses as those having $10 million turnover or less. </w:t>
      </w:r>
      <w:r w:rsidR="00E04661">
        <w:t xml:space="preserve">Australian Taxation Office (ATO), </w:t>
      </w:r>
      <w:hyperlink r:id="rId39" w:history="1">
        <w:r w:rsidR="00E04661" w:rsidRPr="00E04661">
          <w:rPr>
            <w:rStyle w:val="Hyperlink"/>
            <w:i/>
            <w:iCs/>
          </w:rPr>
          <w:t>Small business entities</w:t>
        </w:r>
      </w:hyperlink>
      <w:r w:rsidR="00E04661">
        <w:t xml:space="preserve">, </w:t>
      </w:r>
      <w:r w:rsidR="005F504F">
        <w:t xml:space="preserve">ATO, </w:t>
      </w:r>
      <w:r w:rsidR="00E04661">
        <w:t>2023.</w:t>
      </w:r>
    </w:p>
  </w:footnote>
  <w:footnote w:id="44">
    <w:p w14:paraId="6F3F269B" w14:textId="0D8A386F" w:rsidR="00F079B6" w:rsidRPr="00424029" w:rsidRDefault="00F079B6" w:rsidP="00F079B6">
      <w:pPr>
        <w:pStyle w:val="FootnoteText"/>
      </w:pPr>
      <w:r>
        <w:rPr>
          <w:rStyle w:val="FootnoteReference"/>
        </w:rPr>
        <w:footnoteRef/>
      </w:r>
      <w:r>
        <w:t xml:space="preserve"> </w:t>
      </w:r>
      <w:r w:rsidR="005653DA">
        <w:tab/>
      </w:r>
      <w:r w:rsidR="00451601">
        <w:t xml:space="preserve">As of </w:t>
      </w:r>
      <w:r w:rsidR="00D84A3B">
        <w:t xml:space="preserve">June 2023, there were </w:t>
      </w:r>
      <w:r w:rsidR="00765A8B">
        <w:t xml:space="preserve">about </w:t>
      </w:r>
      <w:r w:rsidR="00D84A3B">
        <w:t>48</w:t>
      </w:r>
      <w:r w:rsidR="00F81999">
        <w:t>,000</w:t>
      </w:r>
      <w:r w:rsidR="008E12BD">
        <w:t xml:space="preserve"> </w:t>
      </w:r>
      <w:r w:rsidR="00D84A3B">
        <w:t>ou</w:t>
      </w:r>
      <w:r w:rsidR="008E12BD">
        <w:t>t</w:t>
      </w:r>
      <w:r w:rsidR="00D84A3B">
        <w:t xml:space="preserve"> of 2</w:t>
      </w:r>
      <w:r w:rsidR="008E12BD">
        <w:t>.</w:t>
      </w:r>
      <w:r w:rsidR="005B7EB1">
        <w:t>6</w:t>
      </w:r>
      <w:r w:rsidR="008E12BD">
        <w:t xml:space="preserve"> million </w:t>
      </w:r>
      <w:r w:rsidR="005B7EB1">
        <w:t>(1.84%)</w:t>
      </w:r>
      <w:r w:rsidR="008E12BD">
        <w:t xml:space="preserve"> </w:t>
      </w:r>
      <w:r w:rsidR="00D84A3B">
        <w:t xml:space="preserve">actively trading businesses in </w:t>
      </w:r>
      <w:r w:rsidR="00C378C8">
        <w:t xml:space="preserve">the </w:t>
      </w:r>
      <w:r w:rsidR="00D84A3B">
        <w:t>Australia</w:t>
      </w:r>
      <w:r w:rsidR="00C378C8">
        <w:t>n</w:t>
      </w:r>
      <w:r w:rsidR="00D84A3B">
        <w:t xml:space="preserve"> market sector</w:t>
      </w:r>
      <w:r w:rsidR="008E12BD">
        <w:t xml:space="preserve"> that had turnover of at least $10 million</w:t>
      </w:r>
      <w:r w:rsidR="00D84A3B">
        <w:t xml:space="preserve">. </w:t>
      </w:r>
      <w:r w:rsidR="005F504F">
        <w:t>Australian Bureau of Statistics (</w:t>
      </w:r>
      <w:r w:rsidR="00E57EAD">
        <w:t>ABS</w:t>
      </w:r>
      <w:r w:rsidR="005F504F">
        <w:t>)</w:t>
      </w:r>
      <w:r w:rsidR="00FD2DA5">
        <w:t xml:space="preserve">, </w:t>
      </w:r>
      <w:hyperlink r:id="rId40" w:history="1">
        <w:r w:rsidR="00E57EAD" w:rsidRPr="00F96900">
          <w:rPr>
            <w:rStyle w:val="Hyperlink"/>
            <w:i/>
          </w:rPr>
          <w:t>Counts of Australian Businesses, including Entries and Exit</w:t>
        </w:r>
        <w:r w:rsidR="00424029">
          <w:rPr>
            <w:rStyle w:val="Hyperlink"/>
            <w:i/>
            <w:iCs/>
          </w:rPr>
          <w:t>s</w:t>
        </w:r>
      </w:hyperlink>
      <w:r w:rsidR="00FB08F1">
        <w:rPr>
          <w:rStyle w:val="Hyperlink"/>
          <w:i/>
        </w:rPr>
        <w:t xml:space="preserve"> </w:t>
      </w:r>
      <w:r w:rsidR="00FB08F1">
        <w:t>[data set],</w:t>
      </w:r>
      <w:r w:rsidR="005F504F">
        <w:t xml:space="preserve"> ABS, 2023.</w:t>
      </w:r>
    </w:p>
  </w:footnote>
  <w:footnote w:id="45">
    <w:p w14:paraId="51CC4A6C" w14:textId="40D6A78B" w:rsidR="00367C06" w:rsidRDefault="00367C06" w:rsidP="00367C06">
      <w:pPr>
        <w:pStyle w:val="FootnoteText"/>
      </w:pPr>
      <w:r>
        <w:rPr>
          <w:rStyle w:val="FootnoteReference"/>
        </w:rPr>
        <w:footnoteRef/>
      </w:r>
      <w:r>
        <w:t xml:space="preserve"> </w:t>
      </w:r>
      <w:r>
        <w:tab/>
        <w:t xml:space="preserve">Jonathan Hambur (2021) </w:t>
      </w:r>
      <w:hyperlink r:id="rId41" w:history="1">
        <w:r w:rsidRPr="00E1224A">
          <w:rPr>
            <w:rStyle w:val="Hyperlink"/>
            <w:i/>
            <w:iCs/>
          </w:rPr>
          <w:t>Product market power and its implications for the Australian economy</w:t>
        </w:r>
      </w:hyperlink>
      <w:r>
        <w:t>,</w:t>
      </w:r>
      <w:r w:rsidRPr="002D1BB0">
        <w:t xml:space="preserve"> </w:t>
      </w:r>
      <w:r>
        <w:t>Treasury, p</w:t>
      </w:r>
      <w:r w:rsidR="00DE1CB7">
        <w:t>p</w:t>
      </w:r>
      <w:r>
        <w:t xml:space="preserve"> 5-6, accessed 31 July 2024.</w:t>
      </w:r>
    </w:p>
  </w:footnote>
  <w:footnote w:id="46">
    <w:p w14:paraId="254FE06F" w14:textId="77777777" w:rsidR="00367C06" w:rsidRDefault="00367C06" w:rsidP="00367C06">
      <w:pPr>
        <w:pStyle w:val="FootnoteText"/>
      </w:pPr>
      <w:r>
        <w:rPr>
          <w:rStyle w:val="FootnoteReference"/>
        </w:rPr>
        <w:footnoteRef/>
      </w:r>
      <w:r>
        <w:t xml:space="preserve"> </w:t>
      </w:r>
      <w:r>
        <w:tab/>
      </w:r>
      <w:r w:rsidRPr="009E225D">
        <w:t>Andrew Leigh, Adam Triggs</w:t>
      </w:r>
      <w:r>
        <w:t xml:space="preserve"> (2016)</w:t>
      </w:r>
      <w:r w:rsidRPr="009E225D">
        <w:t xml:space="preserve"> </w:t>
      </w:r>
      <w:hyperlink r:id="rId42" w:history="1">
        <w:r w:rsidRPr="00E63D2A">
          <w:rPr>
            <w:rStyle w:val="Hyperlink"/>
            <w:i/>
            <w:iCs/>
          </w:rPr>
          <w:t>Markets, Monopolies and Moguls: The Relationship between Inequality and Competition</w:t>
        </w:r>
      </w:hyperlink>
      <w:r>
        <w:t xml:space="preserve">, </w:t>
      </w:r>
      <w:r w:rsidRPr="008561C8">
        <w:rPr>
          <w:i/>
          <w:iCs/>
        </w:rPr>
        <w:t>Australian Economic Review</w:t>
      </w:r>
      <w:r>
        <w:t xml:space="preserve">, </w:t>
      </w:r>
      <w:r w:rsidRPr="00F76C1D">
        <w:t>Vol</w:t>
      </w:r>
      <w:r>
        <w:t xml:space="preserve"> </w:t>
      </w:r>
      <w:r w:rsidRPr="00F76C1D">
        <w:t>49, Issue</w:t>
      </w:r>
      <w:r>
        <w:t xml:space="preserve"> </w:t>
      </w:r>
      <w:r w:rsidRPr="00F76C1D">
        <w:t>4</w:t>
      </w:r>
      <w:r>
        <w:t>, 389, pp 391-392.</w:t>
      </w:r>
    </w:p>
  </w:footnote>
  <w:footnote w:id="47">
    <w:p w14:paraId="01B15653" w14:textId="67C54A20" w:rsidR="00156F0D" w:rsidRPr="000E6840" w:rsidRDefault="00156F0D" w:rsidP="00156F0D">
      <w:pPr>
        <w:pStyle w:val="FootnoteText"/>
        <w:rPr>
          <w:i/>
          <w:iCs/>
        </w:rPr>
      </w:pPr>
      <w:r>
        <w:rPr>
          <w:rStyle w:val="FootnoteReference"/>
        </w:rPr>
        <w:footnoteRef/>
      </w:r>
      <w:r>
        <w:t xml:space="preserve"> </w:t>
      </w:r>
      <w:r>
        <w:tab/>
        <w:t xml:space="preserve">Productivity Commission, </w:t>
      </w:r>
      <w:hyperlink r:id="rId43" w:history="1">
        <w:r w:rsidRPr="00EA2FF7">
          <w:rPr>
            <w:rStyle w:val="Hyperlink"/>
            <w:i/>
            <w:iCs/>
          </w:rPr>
          <w:t>5-year Productivity Inquiry: A competitive, dynamic and sustainable future. Inquiry report – volume 3</w:t>
        </w:r>
      </w:hyperlink>
      <w:r>
        <w:t xml:space="preserve">, 2023, pp 2-3; S Bakhtiari, </w:t>
      </w:r>
      <w:hyperlink r:id="rId44" w:history="1">
        <w:r w:rsidRPr="000E6840">
          <w:rPr>
            <w:rStyle w:val="Hyperlink"/>
            <w:i/>
            <w:iCs/>
          </w:rPr>
          <w:t>Trends in Market Concentration of Australian Industries</w:t>
        </w:r>
      </w:hyperlink>
      <w:r>
        <w:t>, Australian Government Department of Industry, Innovation an</w:t>
      </w:r>
      <w:r w:rsidR="00744B23">
        <w:t>d</w:t>
      </w:r>
      <w:r>
        <w:t xml:space="preserve"> Science, pp 24-25.</w:t>
      </w:r>
    </w:p>
  </w:footnote>
  <w:footnote w:id="48">
    <w:p w14:paraId="6C20E40D" w14:textId="77777777" w:rsidR="002A4728" w:rsidRDefault="002A4728" w:rsidP="002A4728">
      <w:pPr>
        <w:pStyle w:val="FootnoteText"/>
      </w:pPr>
      <w:r>
        <w:rPr>
          <w:rStyle w:val="FootnoteReference"/>
        </w:rPr>
        <w:footnoteRef/>
      </w:r>
      <w:r>
        <w:t xml:space="preserve"> </w:t>
      </w:r>
      <w:r>
        <w:tab/>
        <w:t xml:space="preserve">See for example, Portuguese Competition Act </w:t>
      </w:r>
      <w:r w:rsidRPr="000A7D9F">
        <w:t>(Law No. 19/2012, of 8th May)</w:t>
      </w:r>
      <w:r>
        <w:t xml:space="preserve"> article 37</w:t>
      </w:r>
      <w:r w:rsidRPr="000A7D9F">
        <w:t>.</w:t>
      </w:r>
    </w:p>
  </w:footnote>
  <w:footnote w:id="49">
    <w:p w14:paraId="7EB16081" w14:textId="561FFE55" w:rsidR="00955744" w:rsidRDefault="00955744" w:rsidP="00955744">
      <w:pPr>
        <w:pStyle w:val="FootnoteText"/>
      </w:pPr>
      <w:r>
        <w:rPr>
          <w:rStyle w:val="FootnoteReference"/>
        </w:rPr>
        <w:footnoteRef/>
      </w:r>
      <w:r>
        <w:t xml:space="preserve"> </w:t>
      </w:r>
      <w:r>
        <w:tab/>
        <w:t>ACCC Merger Guidelines 2008, updated 2017</w:t>
      </w:r>
      <w:r w:rsidR="00675B9E">
        <w:t>.</w:t>
      </w:r>
    </w:p>
  </w:footnote>
  <w:footnote w:id="50">
    <w:p w14:paraId="2F1D3185" w14:textId="77777777" w:rsidR="00156F0D" w:rsidRDefault="00156F0D" w:rsidP="00156F0D">
      <w:pPr>
        <w:pStyle w:val="FootnoteText"/>
      </w:pPr>
      <w:r>
        <w:rPr>
          <w:rStyle w:val="FootnoteReference"/>
        </w:rPr>
        <w:footnoteRef/>
      </w:r>
      <w:r>
        <w:t xml:space="preserve"> </w:t>
      </w:r>
      <w:r>
        <w:tab/>
        <w:t>ACCC Merger Guidelines 2008, updated 2017 – see paragraph 2.9.</w:t>
      </w:r>
    </w:p>
  </w:footnote>
  <w:footnote w:id="51">
    <w:p w14:paraId="0E017DC8" w14:textId="133C676B" w:rsidR="00156F0D" w:rsidRPr="003D6E4C" w:rsidRDefault="00156F0D">
      <w:pPr>
        <w:pStyle w:val="FootnoteText"/>
      </w:pPr>
      <w:r>
        <w:rPr>
          <w:rStyle w:val="FootnoteReference"/>
        </w:rPr>
        <w:footnoteRef/>
      </w:r>
      <w:r>
        <w:t xml:space="preserve"> </w:t>
      </w:r>
      <w:r w:rsidR="00675E5C">
        <w:tab/>
      </w:r>
      <w:r>
        <w:t>International Competition Network (</w:t>
      </w:r>
      <w:r w:rsidRPr="003D6E4C">
        <w:t xml:space="preserve">ICN), </w:t>
      </w:r>
      <w:hyperlink r:id="rId45" w:history="1">
        <w:r w:rsidRPr="00C64FDE">
          <w:rPr>
            <w:rStyle w:val="Hyperlink"/>
            <w:i/>
            <w:iCs/>
          </w:rPr>
          <w:t>ICN recommended practices for merger notification and review</w:t>
        </w:r>
        <w:r w:rsidRPr="003D6E4C">
          <w:rPr>
            <w:rStyle w:val="Hyperlink"/>
          </w:rPr>
          <w:t xml:space="preserve"> </w:t>
        </w:r>
        <w:r w:rsidRPr="00C64FDE">
          <w:rPr>
            <w:rStyle w:val="Hyperlink"/>
            <w:i/>
            <w:iCs/>
          </w:rPr>
          <w:t>procedures</w:t>
        </w:r>
      </w:hyperlink>
      <w:r w:rsidRPr="003D6E4C">
        <w:t xml:space="preserve">, 2018, pp 3-5; OECD, </w:t>
      </w:r>
      <w:hyperlink r:id="rId46" w:history="1">
        <w:r w:rsidRPr="00C64FDE">
          <w:rPr>
            <w:rStyle w:val="Hyperlink"/>
            <w:i/>
            <w:iCs/>
          </w:rPr>
          <w:t>Executive Summary of the Roundtable on Jurisdictional Nexus in Merger Control Regime</w:t>
        </w:r>
      </w:hyperlink>
      <w:r w:rsidRPr="003D6E4C">
        <w:t>, 2016, p 2.</w:t>
      </w:r>
    </w:p>
  </w:footnote>
  <w:footnote w:id="52">
    <w:p w14:paraId="72EE963B" w14:textId="0174C361" w:rsidR="00156F0D" w:rsidRDefault="00156F0D">
      <w:pPr>
        <w:pStyle w:val="FootnoteText"/>
      </w:pPr>
      <w:r w:rsidRPr="003D6E4C">
        <w:rPr>
          <w:rStyle w:val="FootnoteReference"/>
        </w:rPr>
        <w:footnoteRef/>
      </w:r>
      <w:r w:rsidRPr="003D6E4C">
        <w:t xml:space="preserve"> </w:t>
      </w:r>
      <w:r w:rsidR="00B47324" w:rsidRPr="003D6E4C">
        <w:tab/>
      </w:r>
      <w:r w:rsidRPr="003D6E4C">
        <w:t xml:space="preserve">OECD, </w:t>
      </w:r>
      <w:hyperlink r:id="rId47" w:history="1">
        <w:r w:rsidRPr="00C64FDE">
          <w:rPr>
            <w:rStyle w:val="Hyperlink"/>
            <w:i/>
            <w:iCs/>
          </w:rPr>
          <w:t>Start-ups, killer acquisitions and merger control – Note by Spain</w:t>
        </w:r>
      </w:hyperlink>
      <w:r w:rsidRPr="003D6E4C">
        <w:t xml:space="preserve">, 2020, pp 2-3; OECD, </w:t>
      </w:r>
      <w:hyperlink r:id="rId48" w:history="1">
        <w:r w:rsidRPr="00C64FDE">
          <w:rPr>
            <w:rStyle w:val="Hyperlink"/>
            <w:i/>
            <w:iCs/>
          </w:rPr>
          <w:t>Start-ups, killer acquisitions and merger control – Note by Portugal</w:t>
        </w:r>
      </w:hyperlink>
      <w:r w:rsidRPr="003D6E4C">
        <w:t xml:space="preserve">, 2020, pp 4-5; OECD, </w:t>
      </w:r>
      <w:hyperlink r:id="rId49" w:history="1">
        <w:r w:rsidRPr="00C64FDE">
          <w:rPr>
            <w:rStyle w:val="Hyperlink"/>
            <w:i/>
            <w:iCs/>
          </w:rPr>
          <w:t>Competition Law and Policy in Israel 2011</w:t>
        </w:r>
      </w:hyperlink>
      <w:r w:rsidRPr="003D6E4C">
        <w:t>, 2011, pp 35-38.</w:t>
      </w:r>
    </w:p>
  </w:footnote>
  <w:footnote w:id="53">
    <w:p w14:paraId="09448199" w14:textId="21A7B8D1" w:rsidR="00156F0D" w:rsidRDefault="00156F0D" w:rsidP="00156F0D">
      <w:pPr>
        <w:pStyle w:val="FootnoteText"/>
      </w:pPr>
      <w:r>
        <w:rPr>
          <w:rStyle w:val="FootnoteReference"/>
        </w:rPr>
        <w:footnoteRef/>
      </w:r>
      <w:r>
        <w:t xml:space="preserve"> </w:t>
      </w:r>
      <w:r w:rsidR="00675E5C">
        <w:tab/>
      </w:r>
      <w:r>
        <w:t xml:space="preserve">OECD (2020) </w:t>
      </w:r>
      <w:hyperlink r:id="rId50" w:history="1">
        <w:r w:rsidRPr="00B627CF">
          <w:rPr>
            <w:rStyle w:val="Hyperlink"/>
            <w:i/>
            <w:iCs/>
          </w:rPr>
          <w:t>Start-ups, killer acquisitions and merger control – Note by Portugal</w:t>
        </w:r>
      </w:hyperlink>
      <w:r>
        <w:t>, OECD, p 2.</w:t>
      </w:r>
    </w:p>
  </w:footnote>
  <w:footnote w:id="54">
    <w:p w14:paraId="0E6D839D" w14:textId="13162520" w:rsidR="00156F0D" w:rsidRDefault="00156F0D" w:rsidP="00156F0D">
      <w:pPr>
        <w:pStyle w:val="FootnoteText"/>
      </w:pPr>
      <w:r>
        <w:rPr>
          <w:rStyle w:val="FootnoteReference"/>
        </w:rPr>
        <w:footnoteRef/>
      </w:r>
      <w:r>
        <w:t xml:space="preserve"> </w:t>
      </w:r>
      <w:r w:rsidR="00B677A5">
        <w:tab/>
      </w:r>
      <w:r>
        <w:t xml:space="preserve">Competition and Markets Authority (2022) </w:t>
      </w:r>
      <w:hyperlink r:id="rId51" w:history="1">
        <w:r w:rsidRPr="00281FC0">
          <w:rPr>
            <w:rStyle w:val="Hyperlink"/>
            <w:i/>
            <w:iCs/>
          </w:rPr>
          <w:t>Mergers: Guidance on the CMA’s jurisdiction and procedure</w:t>
        </w:r>
      </w:hyperlink>
      <w:r>
        <w:t xml:space="preserve">, CMA, p 33; </w:t>
      </w:r>
      <w:hyperlink r:id="rId52" w:history="1">
        <w:r w:rsidRPr="00D556AC">
          <w:rPr>
            <w:rStyle w:val="Hyperlink"/>
            <w:i/>
            <w:iCs/>
          </w:rPr>
          <w:t>Enterprise Act 2002</w:t>
        </w:r>
      </w:hyperlink>
      <w:r w:rsidRPr="00D556AC">
        <w:t xml:space="preserve"> </w:t>
      </w:r>
      <w:r>
        <w:t>(UK) s 23.</w:t>
      </w:r>
    </w:p>
  </w:footnote>
  <w:footnote w:id="55">
    <w:p w14:paraId="31301793" w14:textId="3E6548DA" w:rsidR="00120374" w:rsidRDefault="00120374" w:rsidP="00120374">
      <w:pPr>
        <w:pStyle w:val="FootnoteText"/>
      </w:pPr>
      <w:r>
        <w:rPr>
          <w:rStyle w:val="FootnoteReference"/>
        </w:rPr>
        <w:footnoteRef/>
      </w:r>
      <w:r>
        <w:t xml:space="preserve"> </w:t>
      </w:r>
      <w:r>
        <w:tab/>
        <w:t>For example, the location of the merger could be classified according to the Modified Monash Model, which uses rural, remote or very remote geographic classifications</w:t>
      </w:r>
      <w:r w:rsidR="007D3525">
        <w:t>.</w:t>
      </w:r>
      <w:r>
        <w:t xml:space="preserve"> Australian Government Department of Health and Aged Care (DHAC), </w:t>
      </w:r>
      <w:hyperlink r:id="rId53" w:history="1">
        <w:r w:rsidRPr="00650618">
          <w:rPr>
            <w:rStyle w:val="Hyperlink"/>
            <w:i/>
            <w:iCs/>
          </w:rPr>
          <w:t>Modified Monash Model</w:t>
        </w:r>
      </w:hyperlink>
      <w:r>
        <w:t xml:space="preserve">, </w:t>
      </w:r>
      <w:r w:rsidR="007F249E">
        <w:t xml:space="preserve">DHAC, Australian Government, </w:t>
      </w:r>
      <w:r>
        <w:t>2023.</w:t>
      </w:r>
    </w:p>
  </w:footnote>
  <w:footnote w:id="56">
    <w:p w14:paraId="0C0D214E" w14:textId="11F265D1" w:rsidR="00156F0D" w:rsidRDefault="00156F0D" w:rsidP="00156F0D">
      <w:pPr>
        <w:pStyle w:val="FootnoteText"/>
      </w:pPr>
      <w:r>
        <w:rPr>
          <w:rStyle w:val="FootnoteReference"/>
        </w:rPr>
        <w:footnoteRef/>
      </w:r>
      <w:r>
        <w:t xml:space="preserve"> </w:t>
      </w:r>
      <w:r w:rsidR="00B677A5">
        <w:tab/>
      </w:r>
      <w:r w:rsidRPr="00522A13">
        <w:t xml:space="preserve">European Commission, </w:t>
      </w:r>
      <w:hyperlink r:id="rId54" w:history="1">
        <w:r w:rsidRPr="00C64FDE">
          <w:rPr>
            <w:rStyle w:val="Hyperlink"/>
            <w:i/>
            <w:iCs/>
          </w:rPr>
          <w:t>Guidelines on the assessment of horizontal mergers under the Council Regulation on the control of concentrations between undertakings</w:t>
        </w:r>
      </w:hyperlink>
      <w:r w:rsidRPr="00522A13">
        <w:t xml:space="preserve">, 2004, p </w:t>
      </w:r>
      <w:r>
        <w:t>3</w:t>
      </w:r>
      <w:r w:rsidRPr="00522A13">
        <w:t>.</w:t>
      </w:r>
    </w:p>
  </w:footnote>
  <w:footnote w:id="57">
    <w:p w14:paraId="2DC9C582" w14:textId="77FC5C8B" w:rsidR="00156F0D" w:rsidRPr="003D6E4C" w:rsidRDefault="00156F0D">
      <w:pPr>
        <w:pStyle w:val="FootnoteText"/>
      </w:pPr>
      <w:r>
        <w:rPr>
          <w:rStyle w:val="FootnoteReference"/>
        </w:rPr>
        <w:footnoteRef/>
      </w:r>
      <w:r w:rsidR="00844167">
        <w:t xml:space="preserve"> </w:t>
      </w:r>
      <w:r w:rsidR="00844167">
        <w:tab/>
      </w:r>
      <w:r w:rsidR="00844167" w:rsidRPr="00680699">
        <w:rPr>
          <w:i/>
        </w:rPr>
        <w:t>Groceries Market Investigation (</w:t>
      </w:r>
      <w:r w:rsidR="00844167" w:rsidRPr="003D6E4C">
        <w:rPr>
          <w:i/>
        </w:rPr>
        <w:t>Controlled Land) Order 2010 (UK)</w:t>
      </w:r>
      <w:r w:rsidR="00844167" w:rsidRPr="003D6E4C">
        <w:t>, art 11.</w:t>
      </w:r>
    </w:p>
  </w:footnote>
  <w:footnote w:id="58">
    <w:p w14:paraId="2CA86CAF" w14:textId="5A449EAB" w:rsidR="00156F0D" w:rsidRPr="003D6E4C" w:rsidRDefault="00156F0D">
      <w:pPr>
        <w:pStyle w:val="FootnoteText"/>
      </w:pPr>
      <w:r w:rsidRPr="003D6E4C">
        <w:rPr>
          <w:rStyle w:val="FootnoteReference"/>
        </w:rPr>
        <w:footnoteRef/>
      </w:r>
      <w:r w:rsidR="00844167" w:rsidRPr="003D6E4C">
        <w:t xml:space="preserve"> </w:t>
      </w:r>
      <w:r w:rsidR="00844167" w:rsidRPr="003D6E4C">
        <w:tab/>
        <w:t xml:space="preserve">Norwegian Competition Authority, </w:t>
      </w:r>
      <w:hyperlink r:id="rId55" w:history="1">
        <w:r w:rsidRPr="00C64FDE">
          <w:rPr>
            <w:rStyle w:val="Hyperlink"/>
            <w:i/>
            <w:iCs/>
          </w:rPr>
          <w:t>Disclosure requirements for specific markets</w:t>
        </w:r>
      </w:hyperlink>
      <w:r w:rsidRPr="003D6E4C">
        <w:t>, 2024.</w:t>
      </w:r>
    </w:p>
  </w:footnote>
  <w:footnote w:id="59">
    <w:p w14:paraId="3A24AD44" w14:textId="161CC028" w:rsidR="00156F0D" w:rsidRPr="003D6E4C" w:rsidRDefault="00156F0D" w:rsidP="00156F0D">
      <w:pPr>
        <w:pStyle w:val="FootnoteText"/>
      </w:pPr>
      <w:r w:rsidRPr="003D6E4C">
        <w:rPr>
          <w:rStyle w:val="FootnoteReference"/>
        </w:rPr>
        <w:footnoteRef/>
      </w:r>
      <w:r w:rsidRPr="003D6E4C">
        <w:t xml:space="preserve"> </w:t>
      </w:r>
      <w:r w:rsidR="00202D24" w:rsidRPr="003D6E4C">
        <w:tab/>
      </w:r>
      <w:hyperlink r:id="rId56" w:history="1">
        <w:r w:rsidRPr="00C64FDE">
          <w:rPr>
            <w:rStyle w:val="Hyperlink"/>
            <w:i/>
            <w:iCs/>
          </w:rPr>
          <w:t>Competition Act 2023</w:t>
        </w:r>
      </w:hyperlink>
      <w:r w:rsidRPr="003D6E4C">
        <w:t xml:space="preserve">, s 32f. </w:t>
      </w:r>
    </w:p>
  </w:footnote>
  <w:footnote w:id="60">
    <w:p w14:paraId="1F7F0BAA" w14:textId="06B3A4A8" w:rsidR="00156F0D" w:rsidRPr="003D6E4C" w:rsidRDefault="00156F0D" w:rsidP="00156F0D">
      <w:pPr>
        <w:pStyle w:val="FootnoteText"/>
      </w:pPr>
      <w:r w:rsidRPr="003D6E4C">
        <w:rPr>
          <w:rStyle w:val="FootnoteReference"/>
        </w:rPr>
        <w:footnoteRef/>
      </w:r>
      <w:r w:rsidRPr="003D6E4C">
        <w:t xml:space="preserve"> </w:t>
      </w:r>
      <w:r w:rsidR="00202D24" w:rsidRPr="003D6E4C">
        <w:tab/>
      </w:r>
      <w:r w:rsidRPr="003D6E4C">
        <w:t>Australian Competition and Consumer Commission (ACCC)</w:t>
      </w:r>
      <w:r w:rsidR="00345C05" w:rsidRPr="003D6E4C">
        <w:t>,</w:t>
      </w:r>
      <w:r w:rsidRPr="003D6E4C">
        <w:rPr>
          <w:i/>
          <w:iCs/>
        </w:rPr>
        <w:t xml:space="preserve"> </w:t>
      </w:r>
      <w:hyperlink r:id="rId57" w:history="1">
        <w:r w:rsidRPr="003D6E4C">
          <w:rPr>
            <w:rStyle w:val="Hyperlink"/>
            <w:i/>
            <w:iCs/>
          </w:rPr>
          <w:t>Treasury – Competition Taskforce Merger Reform – Consultation Paper ACCC Submission</w:t>
        </w:r>
      </w:hyperlink>
      <w:r w:rsidRPr="003D6E4C">
        <w:t xml:space="preserve">, </w:t>
      </w:r>
      <w:r w:rsidR="00345C05" w:rsidRPr="003D6E4C">
        <w:t xml:space="preserve">ACCC, 2024, </w:t>
      </w:r>
      <w:r w:rsidRPr="003D6E4C">
        <w:t>p 8.</w:t>
      </w:r>
    </w:p>
  </w:footnote>
  <w:footnote w:id="61">
    <w:p w14:paraId="655B926E" w14:textId="136A4C31" w:rsidR="00156F0D" w:rsidRPr="003D6E4C" w:rsidRDefault="00156F0D" w:rsidP="00156F0D">
      <w:pPr>
        <w:pStyle w:val="FootnoteText"/>
      </w:pPr>
      <w:r w:rsidRPr="003D6E4C">
        <w:rPr>
          <w:rStyle w:val="FootnoteReference"/>
        </w:rPr>
        <w:footnoteRef/>
      </w:r>
      <w:r w:rsidRPr="003D6E4C">
        <w:t xml:space="preserve"> </w:t>
      </w:r>
      <w:r w:rsidR="00202D24" w:rsidRPr="003D6E4C">
        <w:tab/>
      </w:r>
      <w:r w:rsidRPr="003D6E4C">
        <w:t xml:space="preserve">Select Committee on Supermarket Prices, </w:t>
      </w:r>
      <w:hyperlink r:id="rId58" w:history="1">
        <w:r w:rsidRPr="00C64FDE">
          <w:rPr>
            <w:rStyle w:val="Hyperlink"/>
            <w:i/>
            <w:iCs/>
          </w:rPr>
          <w:t>Supermarket Prices: Final report</w:t>
        </w:r>
      </w:hyperlink>
      <w:r w:rsidRPr="003D6E4C">
        <w:t>, 2024, p 133.</w:t>
      </w:r>
    </w:p>
  </w:footnote>
  <w:footnote w:id="62">
    <w:p w14:paraId="76C27331" w14:textId="30AFD0C7" w:rsidR="00156F0D" w:rsidRDefault="00156F0D" w:rsidP="00156F0D">
      <w:pPr>
        <w:pStyle w:val="FootnoteText"/>
      </w:pPr>
      <w:r w:rsidRPr="003D6E4C">
        <w:rPr>
          <w:rStyle w:val="FootnoteReference"/>
        </w:rPr>
        <w:footnoteRef/>
      </w:r>
      <w:r w:rsidRPr="003D6E4C">
        <w:t xml:space="preserve"> </w:t>
      </w:r>
      <w:r w:rsidR="00202D24" w:rsidRPr="003D6E4C">
        <w:tab/>
      </w:r>
      <w:r w:rsidRPr="003D6E4C">
        <w:t xml:space="preserve">e61 Institute, </w:t>
      </w:r>
      <w:hyperlink r:id="rId59" w:history="1">
        <w:r w:rsidRPr="00C64FDE">
          <w:rPr>
            <w:rStyle w:val="Hyperlink"/>
            <w:i/>
            <w:iCs/>
          </w:rPr>
          <w:t>The State of Competition in Australia</w:t>
        </w:r>
      </w:hyperlink>
      <w:r w:rsidRPr="003D6E4C">
        <w:t>, 2023, p 9.</w:t>
      </w:r>
    </w:p>
  </w:footnote>
  <w:footnote w:id="63">
    <w:p w14:paraId="2B45BA18" w14:textId="70FE1C2D" w:rsidR="00AE0A02" w:rsidRPr="00B64790" w:rsidRDefault="00AE0A02">
      <w:pPr>
        <w:pStyle w:val="FootnoteText"/>
        <w:rPr>
          <w:i/>
        </w:rPr>
      </w:pPr>
      <w:r>
        <w:rPr>
          <w:rStyle w:val="FootnoteReference"/>
        </w:rPr>
        <w:footnoteRef/>
      </w:r>
      <w:r>
        <w:t xml:space="preserve"> </w:t>
      </w:r>
      <w:r w:rsidR="00963D27">
        <w:tab/>
      </w:r>
      <w:r w:rsidR="00120245">
        <w:t>For example</w:t>
      </w:r>
      <w:r w:rsidR="00963D27">
        <w:t>,</w:t>
      </w:r>
      <w:r w:rsidR="00120245">
        <w:t xml:space="preserve"> the Minister </w:t>
      </w:r>
      <w:r w:rsidR="000219CC">
        <w:t xml:space="preserve">is required to consider </w:t>
      </w:r>
      <w:r w:rsidR="00F53E26" w:rsidRPr="00F53E26">
        <w:t>criteria in the context of the News Media Bargaining Code</w:t>
      </w:r>
      <w:r w:rsidR="00F53E26">
        <w:t xml:space="preserve">: </w:t>
      </w:r>
      <w:r w:rsidR="00F53E26" w:rsidRPr="00B64790">
        <w:rPr>
          <w:i/>
        </w:rPr>
        <w:t xml:space="preserve">Competition and Consumer Act </w:t>
      </w:r>
      <w:r w:rsidR="006C48F1" w:rsidRPr="00B64790">
        <w:rPr>
          <w:i/>
        </w:rPr>
        <w:t>2010</w:t>
      </w:r>
      <w:r w:rsidR="00C9392B">
        <w:rPr>
          <w:i/>
          <w:iCs/>
        </w:rPr>
        <w:t xml:space="preserve"> </w:t>
      </w:r>
      <w:r w:rsidR="004E7292">
        <w:t>(Cth) s</w:t>
      </w:r>
      <w:r w:rsidR="00766512">
        <w:t xml:space="preserve"> 56AD, s</w:t>
      </w:r>
      <w:r w:rsidR="00C12296">
        <w:t xml:space="preserve"> </w:t>
      </w:r>
      <w:r w:rsidR="00766512">
        <w:t>56AE</w:t>
      </w:r>
      <w:r w:rsidR="00272AC3">
        <w:t>.</w:t>
      </w:r>
    </w:p>
  </w:footnote>
  <w:footnote w:id="64">
    <w:p w14:paraId="5B054406" w14:textId="3C86270D" w:rsidR="00156F0D" w:rsidRDefault="00156F0D" w:rsidP="00156F0D">
      <w:pPr>
        <w:pStyle w:val="FootnoteText"/>
      </w:pPr>
      <w:r>
        <w:rPr>
          <w:rStyle w:val="FootnoteReference"/>
        </w:rPr>
        <w:footnoteRef/>
      </w:r>
      <w:r>
        <w:t xml:space="preserve"> </w:t>
      </w:r>
      <w:r w:rsidR="00844167">
        <w:tab/>
      </w:r>
      <w:r w:rsidR="00156BF9">
        <w:t xml:space="preserve">Australian Competition &amp; Consumer Commission (ACCC), </w:t>
      </w:r>
      <w:hyperlink r:id="rId60" w:history="1">
        <w:r w:rsidR="00156BF9" w:rsidRPr="00345C05">
          <w:rPr>
            <w:rStyle w:val="Hyperlink"/>
            <w:i/>
          </w:rPr>
          <w:t>Statement of Expectations and Statement of Intent</w:t>
        </w:r>
      </w:hyperlink>
      <w:r w:rsidR="00156BF9">
        <w:t>, ACCC, 2024.</w:t>
      </w:r>
    </w:p>
  </w:footnote>
  <w:footnote w:id="65">
    <w:p w14:paraId="38FFC88D" w14:textId="42C6BFA9" w:rsidR="00213438" w:rsidRDefault="00213438">
      <w:pPr>
        <w:pStyle w:val="FootnoteText"/>
      </w:pPr>
      <w:r>
        <w:rPr>
          <w:rStyle w:val="FootnoteReference"/>
        </w:rPr>
        <w:footnoteRef/>
      </w:r>
      <w:r>
        <w:t xml:space="preserve"> </w:t>
      </w:r>
      <w:r w:rsidR="001008C7">
        <w:tab/>
      </w:r>
      <w:r>
        <w:t>Treasury, ‘</w:t>
      </w:r>
      <w:hyperlink r:id="rId61" w:history="1">
        <w:r w:rsidRPr="001F7C2E">
          <w:rPr>
            <w:rStyle w:val="Hyperlink"/>
            <w:i/>
            <w:iCs/>
          </w:rPr>
          <w:t>Tracking mergers in Australia using worker flows</w:t>
        </w:r>
      </w:hyperlink>
      <w:r>
        <w:rPr>
          <w:i/>
          <w:iCs/>
        </w:rPr>
        <w:t>’</w:t>
      </w:r>
      <w:r>
        <w:t>, Treasury, Australian Government, 2024</w:t>
      </w:r>
      <w:r w:rsidR="006668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E9D5" w14:textId="06756781" w:rsidR="00156F0D" w:rsidRPr="008E6CE5" w:rsidRDefault="00156F0D" w:rsidP="008E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1F97" w14:textId="15D15C48" w:rsidR="00156F0D" w:rsidRPr="008E6CE5" w:rsidRDefault="00156F0D" w:rsidP="008E6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7988" w14:textId="0FE46AB0" w:rsidR="00156F0D" w:rsidRPr="008E6CE5" w:rsidRDefault="00156F0D" w:rsidP="008E6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3BBA" w14:textId="6A8F250E" w:rsidR="00156F0D" w:rsidRPr="00AC75E2" w:rsidRDefault="00156F0D" w:rsidP="00AC75E2">
    <w:pPr>
      <w:pStyle w:val="HeaderEven"/>
    </w:pPr>
    <w:r>
      <w:rPr>
        <w:noProof/>
      </w:rPr>
      <w:drawing>
        <wp:anchor distT="0" distB="0" distL="114300" distR="114300" simplePos="0" relativeHeight="251658244" behindDoc="1" locked="1" layoutInCell="1" allowOverlap="1" wp14:anchorId="450A0D8F" wp14:editId="108D6D98">
          <wp:simplePos x="0" y="0"/>
          <wp:positionH relativeFrom="page">
            <wp:align>left</wp:align>
          </wp:positionH>
          <wp:positionV relativeFrom="page">
            <wp:align>top</wp:align>
          </wp:positionV>
          <wp:extent cx="7570800" cy="936000"/>
          <wp:effectExtent l="0" t="0" r="0" b="0"/>
          <wp:wrapNone/>
          <wp:docPr id="2119155950" name="Picture 21191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C8CD" w14:textId="24F42E99" w:rsidR="00156F0D" w:rsidRPr="00F60198" w:rsidRDefault="00156F0D" w:rsidP="00A12F62">
    <w:pPr>
      <w:pStyle w:val="HeaderOdd"/>
    </w:pPr>
    <w:r>
      <w:rPr>
        <w:noProof/>
      </w:rPr>
      <w:drawing>
        <wp:anchor distT="0" distB="0" distL="114300" distR="114300" simplePos="0" relativeHeight="251658243" behindDoc="1" locked="1" layoutInCell="1" allowOverlap="1" wp14:anchorId="068041E5" wp14:editId="46AC6272">
          <wp:simplePos x="0" y="0"/>
          <wp:positionH relativeFrom="page">
            <wp:align>left</wp:align>
          </wp:positionH>
          <wp:positionV relativeFrom="page">
            <wp:align>top</wp:align>
          </wp:positionV>
          <wp:extent cx="7570800" cy="936000"/>
          <wp:effectExtent l="0" t="0" r="0" b="0"/>
          <wp:wrapNone/>
          <wp:docPr id="1667513638" name="Picture 166751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C870" w14:textId="435899FD" w:rsidR="00156F0D" w:rsidRPr="008E6CE5" w:rsidRDefault="00156F0D" w:rsidP="008E6C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4ECC" w14:textId="25903A36" w:rsidR="003F00AC" w:rsidRPr="00AC75E2" w:rsidRDefault="003F00AC" w:rsidP="00AC75E2">
    <w:pPr>
      <w:pStyle w:val="HeaderEven"/>
    </w:pPr>
    <w:r>
      <w:rPr>
        <w:noProof/>
      </w:rPr>
      <w:drawing>
        <wp:anchor distT="0" distB="0" distL="114300" distR="114300" simplePos="0" relativeHeight="251658248" behindDoc="1" locked="1" layoutInCell="1" allowOverlap="1" wp14:anchorId="044C2950" wp14:editId="2915F06D">
          <wp:simplePos x="0" y="0"/>
          <wp:positionH relativeFrom="page">
            <wp:align>left</wp:align>
          </wp:positionH>
          <wp:positionV relativeFrom="page">
            <wp:align>top</wp:align>
          </wp:positionV>
          <wp:extent cx="7570800" cy="936000"/>
          <wp:effectExtent l="0" t="0" r="0" b="0"/>
          <wp:wrapNone/>
          <wp:docPr id="1072075092" name="Picture 107207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57B6" w14:textId="2FB13B3B" w:rsidR="003F00AC" w:rsidRPr="00F60198" w:rsidRDefault="003F00AC" w:rsidP="00A12F62">
    <w:pPr>
      <w:pStyle w:val="HeaderOdd"/>
    </w:pPr>
    <w:r>
      <w:rPr>
        <w:noProof/>
      </w:rPr>
      <w:drawing>
        <wp:anchor distT="0" distB="0" distL="114300" distR="114300" simplePos="0" relativeHeight="251658249" behindDoc="1" locked="1" layoutInCell="1" allowOverlap="1" wp14:anchorId="4703D545" wp14:editId="3D3A12DC">
          <wp:simplePos x="0" y="0"/>
          <wp:positionH relativeFrom="page">
            <wp:align>left</wp:align>
          </wp:positionH>
          <wp:positionV relativeFrom="page">
            <wp:align>top</wp:align>
          </wp:positionV>
          <wp:extent cx="7570800" cy="936000"/>
          <wp:effectExtent l="0" t="0" r="0" b="0"/>
          <wp:wrapNone/>
          <wp:docPr id="4994347" name="Picture 499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4EEA" w14:textId="01F03F9A" w:rsidR="003F00AC" w:rsidRPr="008E6CE5" w:rsidRDefault="003F00AC" w:rsidP="008E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64"/>
    <w:multiLevelType w:val="multilevel"/>
    <w:tmpl w:val="87A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A43B2A"/>
    <w:multiLevelType w:val="multilevel"/>
    <w:tmpl w:val="DA0C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CA1CC1"/>
    <w:multiLevelType w:val="multilevel"/>
    <w:tmpl w:val="B06E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4E0A50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9FD1A84"/>
    <w:multiLevelType w:val="multilevel"/>
    <w:tmpl w:val="BD6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1"/>
  </w:num>
  <w:num w:numId="2">
    <w:abstractNumId w:val="1"/>
  </w:num>
  <w:num w:numId="3">
    <w:abstractNumId w:val="14"/>
  </w:num>
  <w:num w:numId="4">
    <w:abstractNumId w:val="4"/>
  </w:num>
  <w:num w:numId="5">
    <w:abstractNumId w:val="6"/>
  </w:num>
  <w:num w:numId="6">
    <w:abstractNumId w:val="18"/>
  </w:num>
  <w:num w:numId="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3"/>
  </w:num>
  <w:num w:numId="10">
    <w:abstractNumId w:val="10"/>
  </w:num>
  <w:num w:numId="11">
    <w:abstractNumId w:val="25"/>
  </w:num>
  <w:num w:numId="12">
    <w:abstractNumId w:val="18"/>
  </w:num>
  <w:num w:numId="13">
    <w:abstractNumId w:val="26"/>
  </w:num>
  <w:num w:numId="14">
    <w:abstractNumId w:val="16"/>
  </w:num>
  <w:num w:numId="15">
    <w:abstractNumId w:val="9"/>
  </w:num>
  <w:num w:numId="16">
    <w:abstractNumId w:val="21"/>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2"/>
  </w:num>
  <w:num w:numId="27">
    <w:abstractNumId w:val="15"/>
  </w:num>
  <w:num w:numId="28">
    <w:abstractNumId w:val="20"/>
  </w:num>
  <w:num w:numId="29">
    <w:abstractNumId w:val="0"/>
  </w:num>
  <w:num w:numId="30">
    <w:abstractNumId w:val="22"/>
  </w:num>
  <w:num w:numId="31">
    <w:abstractNumId w:val="18"/>
  </w:num>
  <w:num w:numId="32">
    <w:abstractNumId w:val="17"/>
  </w:num>
  <w:num w:numId="33">
    <w:abstractNumId w:val="2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B74B78"/>
    <w:rsid w:val="00000119"/>
    <w:rsid w:val="00000153"/>
    <w:rsid w:val="000001ED"/>
    <w:rsid w:val="00000526"/>
    <w:rsid w:val="00000678"/>
    <w:rsid w:val="000006ED"/>
    <w:rsid w:val="000007E2"/>
    <w:rsid w:val="00000976"/>
    <w:rsid w:val="00000986"/>
    <w:rsid w:val="00000995"/>
    <w:rsid w:val="00000A5D"/>
    <w:rsid w:val="00000A70"/>
    <w:rsid w:val="00000B3F"/>
    <w:rsid w:val="00000C16"/>
    <w:rsid w:val="00000CCA"/>
    <w:rsid w:val="00000D92"/>
    <w:rsid w:val="00000E17"/>
    <w:rsid w:val="00000F68"/>
    <w:rsid w:val="00000F87"/>
    <w:rsid w:val="0000101E"/>
    <w:rsid w:val="00001058"/>
    <w:rsid w:val="0000109E"/>
    <w:rsid w:val="000010DB"/>
    <w:rsid w:val="00001135"/>
    <w:rsid w:val="0000138D"/>
    <w:rsid w:val="000013C9"/>
    <w:rsid w:val="000014BF"/>
    <w:rsid w:val="000014EF"/>
    <w:rsid w:val="000014F8"/>
    <w:rsid w:val="00001605"/>
    <w:rsid w:val="00001693"/>
    <w:rsid w:val="0000189C"/>
    <w:rsid w:val="00001919"/>
    <w:rsid w:val="000019C0"/>
    <w:rsid w:val="00001B80"/>
    <w:rsid w:val="00001BAC"/>
    <w:rsid w:val="00001BCB"/>
    <w:rsid w:val="00001BD6"/>
    <w:rsid w:val="00001BFE"/>
    <w:rsid w:val="00001C8E"/>
    <w:rsid w:val="00001CD8"/>
    <w:rsid w:val="00001D64"/>
    <w:rsid w:val="00001E4A"/>
    <w:rsid w:val="00001E90"/>
    <w:rsid w:val="00001E95"/>
    <w:rsid w:val="00001F77"/>
    <w:rsid w:val="00002352"/>
    <w:rsid w:val="000023B7"/>
    <w:rsid w:val="00002411"/>
    <w:rsid w:val="00002459"/>
    <w:rsid w:val="0000257A"/>
    <w:rsid w:val="000026CB"/>
    <w:rsid w:val="00002994"/>
    <w:rsid w:val="000029E5"/>
    <w:rsid w:val="00002AB2"/>
    <w:rsid w:val="00002C2E"/>
    <w:rsid w:val="00002C6B"/>
    <w:rsid w:val="00002C8B"/>
    <w:rsid w:val="00002E1E"/>
    <w:rsid w:val="00002F1C"/>
    <w:rsid w:val="000030B7"/>
    <w:rsid w:val="00003283"/>
    <w:rsid w:val="0000355B"/>
    <w:rsid w:val="000035B1"/>
    <w:rsid w:val="000035C4"/>
    <w:rsid w:val="0000373A"/>
    <w:rsid w:val="00003770"/>
    <w:rsid w:val="000038A7"/>
    <w:rsid w:val="00003BE9"/>
    <w:rsid w:val="00003C38"/>
    <w:rsid w:val="00003D0E"/>
    <w:rsid w:val="00003D30"/>
    <w:rsid w:val="00003EA2"/>
    <w:rsid w:val="00003FC1"/>
    <w:rsid w:val="00004035"/>
    <w:rsid w:val="0000417A"/>
    <w:rsid w:val="00004187"/>
    <w:rsid w:val="00004431"/>
    <w:rsid w:val="0000453B"/>
    <w:rsid w:val="00004593"/>
    <w:rsid w:val="000045AF"/>
    <w:rsid w:val="0000468C"/>
    <w:rsid w:val="000046CA"/>
    <w:rsid w:val="00004767"/>
    <w:rsid w:val="00004825"/>
    <w:rsid w:val="00004A83"/>
    <w:rsid w:val="00004BD3"/>
    <w:rsid w:val="00004BDA"/>
    <w:rsid w:val="00004DA5"/>
    <w:rsid w:val="00004F39"/>
    <w:rsid w:val="00004F90"/>
    <w:rsid w:val="00004FAA"/>
    <w:rsid w:val="00005062"/>
    <w:rsid w:val="0000506D"/>
    <w:rsid w:val="00005096"/>
    <w:rsid w:val="0000511F"/>
    <w:rsid w:val="000052C6"/>
    <w:rsid w:val="000052E9"/>
    <w:rsid w:val="00005410"/>
    <w:rsid w:val="00005493"/>
    <w:rsid w:val="000054CA"/>
    <w:rsid w:val="000054ED"/>
    <w:rsid w:val="00005537"/>
    <w:rsid w:val="0000564B"/>
    <w:rsid w:val="000056DE"/>
    <w:rsid w:val="000058D2"/>
    <w:rsid w:val="00005E5B"/>
    <w:rsid w:val="00006086"/>
    <w:rsid w:val="0000611B"/>
    <w:rsid w:val="00006418"/>
    <w:rsid w:val="0000666F"/>
    <w:rsid w:val="000066BE"/>
    <w:rsid w:val="0000672B"/>
    <w:rsid w:val="000068B3"/>
    <w:rsid w:val="0000696B"/>
    <w:rsid w:val="000069D3"/>
    <w:rsid w:val="00006AF2"/>
    <w:rsid w:val="00006C2F"/>
    <w:rsid w:val="00006C7E"/>
    <w:rsid w:val="00006EC0"/>
    <w:rsid w:val="00007132"/>
    <w:rsid w:val="00007142"/>
    <w:rsid w:val="000071AA"/>
    <w:rsid w:val="0000724F"/>
    <w:rsid w:val="000074BC"/>
    <w:rsid w:val="000076A4"/>
    <w:rsid w:val="0000790F"/>
    <w:rsid w:val="00007A3E"/>
    <w:rsid w:val="00007A47"/>
    <w:rsid w:val="00007A5C"/>
    <w:rsid w:val="00007AF7"/>
    <w:rsid w:val="00007B4B"/>
    <w:rsid w:val="00007B6C"/>
    <w:rsid w:val="00007C15"/>
    <w:rsid w:val="00007E2F"/>
    <w:rsid w:val="00007E85"/>
    <w:rsid w:val="000100B0"/>
    <w:rsid w:val="0001011C"/>
    <w:rsid w:val="000103C2"/>
    <w:rsid w:val="0001041D"/>
    <w:rsid w:val="00010536"/>
    <w:rsid w:val="0001055F"/>
    <w:rsid w:val="00010590"/>
    <w:rsid w:val="000105BF"/>
    <w:rsid w:val="0001068B"/>
    <w:rsid w:val="00010834"/>
    <w:rsid w:val="000108F2"/>
    <w:rsid w:val="00010A99"/>
    <w:rsid w:val="00010AA7"/>
    <w:rsid w:val="00010B26"/>
    <w:rsid w:val="00010BA1"/>
    <w:rsid w:val="00010CB7"/>
    <w:rsid w:val="00010D00"/>
    <w:rsid w:val="00010D0A"/>
    <w:rsid w:val="00010E4E"/>
    <w:rsid w:val="00010F1D"/>
    <w:rsid w:val="00011004"/>
    <w:rsid w:val="000110A5"/>
    <w:rsid w:val="000111BA"/>
    <w:rsid w:val="00011479"/>
    <w:rsid w:val="000114E6"/>
    <w:rsid w:val="0001152C"/>
    <w:rsid w:val="00011656"/>
    <w:rsid w:val="000116B6"/>
    <w:rsid w:val="00011725"/>
    <w:rsid w:val="00011915"/>
    <w:rsid w:val="00011DAF"/>
    <w:rsid w:val="00011EF4"/>
    <w:rsid w:val="00012054"/>
    <w:rsid w:val="00012175"/>
    <w:rsid w:val="0001219D"/>
    <w:rsid w:val="0001226D"/>
    <w:rsid w:val="00012290"/>
    <w:rsid w:val="000122B1"/>
    <w:rsid w:val="000122D0"/>
    <w:rsid w:val="0001236B"/>
    <w:rsid w:val="00012495"/>
    <w:rsid w:val="00012534"/>
    <w:rsid w:val="00012898"/>
    <w:rsid w:val="0001298F"/>
    <w:rsid w:val="000129D6"/>
    <w:rsid w:val="000129FC"/>
    <w:rsid w:val="00012A26"/>
    <w:rsid w:val="00012A79"/>
    <w:rsid w:val="00012AFD"/>
    <w:rsid w:val="00012B26"/>
    <w:rsid w:val="00012B6D"/>
    <w:rsid w:val="00012BF0"/>
    <w:rsid w:val="00012C62"/>
    <w:rsid w:val="00012D3B"/>
    <w:rsid w:val="00012D67"/>
    <w:rsid w:val="00012E10"/>
    <w:rsid w:val="00012FC1"/>
    <w:rsid w:val="0001306D"/>
    <w:rsid w:val="00013074"/>
    <w:rsid w:val="0001317C"/>
    <w:rsid w:val="0001324D"/>
    <w:rsid w:val="0001327D"/>
    <w:rsid w:val="0001333B"/>
    <w:rsid w:val="00013392"/>
    <w:rsid w:val="000133C8"/>
    <w:rsid w:val="0001345B"/>
    <w:rsid w:val="000134C4"/>
    <w:rsid w:val="000134E4"/>
    <w:rsid w:val="0001350F"/>
    <w:rsid w:val="0001380E"/>
    <w:rsid w:val="0001381E"/>
    <w:rsid w:val="000138E3"/>
    <w:rsid w:val="0001396A"/>
    <w:rsid w:val="00013981"/>
    <w:rsid w:val="000139FD"/>
    <w:rsid w:val="00013B30"/>
    <w:rsid w:val="00013B9F"/>
    <w:rsid w:val="00013D33"/>
    <w:rsid w:val="00013D53"/>
    <w:rsid w:val="00013D6C"/>
    <w:rsid w:val="00013EAC"/>
    <w:rsid w:val="00013EE9"/>
    <w:rsid w:val="00014481"/>
    <w:rsid w:val="00014505"/>
    <w:rsid w:val="00014583"/>
    <w:rsid w:val="00014613"/>
    <w:rsid w:val="0001469D"/>
    <w:rsid w:val="00014761"/>
    <w:rsid w:val="0001476C"/>
    <w:rsid w:val="00014871"/>
    <w:rsid w:val="000149D4"/>
    <w:rsid w:val="00014A28"/>
    <w:rsid w:val="00014C36"/>
    <w:rsid w:val="00014D3E"/>
    <w:rsid w:val="00014DCC"/>
    <w:rsid w:val="00014DE5"/>
    <w:rsid w:val="00014DF1"/>
    <w:rsid w:val="00014ED4"/>
    <w:rsid w:val="00014F76"/>
    <w:rsid w:val="000150F9"/>
    <w:rsid w:val="00015410"/>
    <w:rsid w:val="00015558"/>
    <w:rsid w:val="000155AF"/>
    <w:rsid w:val="000158F1"/>
    <w:rsid w:val="000159EC"/>
    <w:rsid w:val="00015AA7"/>
    <w:rsid w:val="00015BD8"/>
    <w:rsid w:val="00015BEF"/>
    <w:rsid w:val="00015F86"/>
    <w:rsid w:val="00016046"/>
    <w:rsid w:val="00016063"/>
    <w:rsid w:val="00016166"/>
    <w:rsid w:val="00016381"/>
    <w:rsid w:val="00016400"/>
    <w:rsid w:val="0001642C"/>
    <w:rsid w:val="00016457"/>
    <w:rsid w:val="00016493"/>
    <w:rsid w:val="000167F6"/>
    <w:rsid w:val="00016831"/>
    <w:rsid w:val="00016A0B"/>
    <w:rsid w:val="00016A38"/>
    <w:rsid w:val="00016BD4"/>
    <w:rsid w:val="00016C2B"/>
    <w:rsid w:val="00016D12"/>
    <w:rsid w:val="00016D40"/>
    <w:rsid w:val="00016D65"/>
    <w:rsid w:val="00016DB2"/>
    <w:rsid w:val="00016EA6"/>
    <w:rsid w:val="0001706E"/>
    <w:rsid w:val="0001709B"/>
    <w:rsid w:val="000170FD"/>
    <w:rsid w:val="0001720D"/>
    <w:rsid w:val="00017222"/>
    <w:rsid w:val="0001739F"/>
    <w:rsid w:val="0001742C"/>
    <w:rsid w:val="00017453"/>
    <w:rsid w:val="0001771E"/>
    <w:rsid w:val="0001775D"/>
    <w:rsid w:val="00017770"/>
    <w:rsid w:val="00017812"/>
    <w:rsid w:val="000178A9"/>
    <w:rsid w:val="000179E6"/>
    <w:rsid w:val="00017B0D"/>
    <w:rsid w:val="00017B30"/>
    <w:rsid w:val="00017B7B"/>
    <w:rsid w:val="00017BF3"/>
    <w:rsid w:val="00017BFB"/>
    <w:rsid w:val="00017C27"/>
    <w:rsid w:val="00017F13"/>
    <w:rsid w:val="00017F68"/>
    <w:rsid w:val="00020353"/>
    <w:rsid w:val="00020518"/>
    <w:rsid w:val="0002055B"/>
    <w:rsid w:val="000205A8"/>
    <w:rsid w:val="000206A2"/>
    <w:rsid w:val="000206DA"/>
    <w:rsid w:val="000208B1"/>
    <w:rsid w:val="0002093E"/>
    <w:rsid w:val="00020948"/>
    <w:rsid w:val="00020984"/>
    <w:rsid w:val="00020B57"/>
    <w:rsid w:val="00020B58"/>
    <w:rsid w:val="00020BFD"/>
    <w:rsid w:val="00020CCE"/>
    <w:rsid w:val="00020CE3"/>
    <w:rsid w:val="00020D02"/>
    <w:rsid w:val="00020DF8"/>
    <w:rsid w:val="00020E87"/>
    <w:rsid w:val="00020EA7"/>
    <w:rsid w:val="00020EC8"/>
    <w:rsid w:val="00020F30"/>
    <w:rsid w:val="00020FF7"/>
    <w:rsid w:val="00021131"/>
    <w:rsid w:val="00021185"/>
    <w:rsid w:val="000213CF"/>
    <w:rsid w:val="00021423"/>
    <w:rsid w:val="00021492"/>
    <w:rsid w:val="000214B4"/>
    <w:rsid w:val="00021523"/>
    <w:rsid w:val="0002153E"/>
    <w:rsid w:val="000215E1"/>
    <w:rsid w:val="00021786"/>
    <w:rsid w:val="000217E2"/>
    <w:rsid w:val="00021865"/>
    <w:rsid w:val="000219CC"/>
    <w:rsid w:val="00021BA1"/>
    <w:rsid w:val="00021CF9"/>
    <w:rsid w:val="00021D4C"/>
    <w:rsid w:val="00021D58"/>
    <w:rsid w:val="00021DC3"/>
    <w:rsid w:val="00022199"/>
    <w:rsid w:val="00022209"/>
    <w:rsid w:val="0002227D"/>
    <w:rsid w:val="000222A1"/>
    <w:rsid w:val="000222EA"/>
    <w:rsid w:val="0002234D"/>
    <w:rsid w:val="00022403"/>
    <w:rsid w:val="00022524"/>
    <w:rsid w:val="000225F4"/>
    <w:rsid w:val="00022676"/>
    <w:rsid w:val="00022680"/>
    <w:rsid w:val="00022705"/>
    <w:rsid w:val="0002277D"/>
    <w:rsid w:val="00022801"/>
    <w:rsid w:val="00022811"/>
    <w:rsid w:val="000228FC"/>
    <w:rsid w:val="00022AE1"/>
    <w:rsid w:val="00022BD9"/>
    <w:rsid w:val="00022C3E"/>
    <w:rsid w:val="00022CBB"/>
    <w:rsid w:val="00022D04"/>
    <w:rsid w:val="00022D37"/>
    <w:rsid w:val="00022DF5"/>
    <w:rsid w:val="00022E8B"/>
    <w:rsid w:val="00022EF3"/>
    <w:rsid w:val="00022F5B"/>
    <w:rsid w:val="00022F81"/>
    <w:rsid w:val="0002301B"/>
    <w:rsid w:val="00023365"/>
    <w:rsid w:val="00023408"/>
    <w:rsid w:val="0002355D"/>
    <w:rsid w:val="00023632"/>
    <w:rsid w:val="000236B5"/>
    <w:rsid w:val="000236B6"/>
    <w:rsid w:val="0002379E"/>
    <w:rsid w:val="0002388C"/>
    <w:rsid w:val="000238C4"/>
    <w:rsid w:val="000238EF"/>
    <w:rsid w:val="00023A69"/>
    <w:rsid w:val="00023A90"/>
    <w:rsid w:val="00023B06"/>
    <w:rsid w:val="00023B14"/>
    <w:rsid w:val="00023BE1"/>
    <w:rsid w:val="00023C16"/>
    <w:rsid w:val="00023CF2"/>
    <w:rsid w:val="00023DB1"/>
    <w:rsid w:val="00023E05"/>
    <w:rsid w:val="00023F45"/>
    <w:rsid w:val="00024071"/>
    <w:rsid w:val="00024129"/>
    <w:rsid w:val="00024161"/>
    <w:rsid w:val="00024331"/>
    <w:rsid w:val="0002463C"/>
    <w:rsid w:val="000246F0"/>
    <w:rsid w:val="000246FE"/>
    <w:rsid w:val="0002497C"/>
    <w:rsid w:val="000249BD"/>
    <w:rsid w:val="00024BDF"/>
    <w:rsid w:val="00024C92"/>
    <w:rsid w:val="00024CEF"/>
    <w:rsid w:val="00024D79"/>
    <w:rsid w:val="00025008"/>
    <w:rsid w:val="000251FA"/>
    <w:rsid w:val="00025379"/>
    <w:rsid w:val="00025395"/>
    <w:rsid w:val="0002544D"/>
    <w:rsid w:val="0002554C"/>
    <w:rsid w:val="00025598"/>
    <w:rsid w:val="0002577F"/>
    <w:rsid w:val="0002581F"/>
    <w:rsid w:val="0002585B"/>
    <w:rsid w:val="000258A8"/>
    <w:rsid w:val="000259A7"/>
    <w:rsid w:val="00025A4C"/>
    <w:rsid w:val="00025B5E"/>
    <w:rsid w:val="00025B68"/>
    <w:rsid w:val="00025E56"/>
    <w:rsid w:val="00025EB6"/>
    <w:rsid w:val="00025EE1"/>
    <w:rsid w:val="0002600B"/>
    <w:rsid w:val="00026024"/>
    <w:rsid w:val="00026083"/>
    <w:rsid w:val="00026109"/>
    <w:rsid w:val="00026160"/>
    <w:rsid w:val="00026172"/>
    <w:rsid w:val="0002626B"/>
    <w:rsid w:val="00026406"/>
    <w:rsid w:val="000264B0"/>
    <w:rsid w:val="000264BB"/>
    <w:rsid w:val="000264E1"/>
    <w:rsid w:val="00026528"/>
    <w:rsid w:val="000265F0"/>
    <w:rsid w:val="00026726"/>
    <w:rsid w:val="0002672E"/>
    <w:rsid w:val="000267E1"/>
    <w:rsid w:val="000268DD"/>
    <w:rsid w:val="00026AC5"/>
    <w:rsid w:val="00026ADE"/>
    <w:rsid w:val="00026BA2"/>
    <w:rsid w:val="00026D7B"/>
    <w:rsid w:val="00026E95"/>
    <w:rsid w:val="00026F98"/>
    <w:rsid w:val="00027136"/>
    <w:rsid w:val="0002720B"/>
    <w:rsid w:val="000272B4"/>
    <w:rsid w:val="000272BB"/>
    <w:rsid w:val="00027415"/>
    <w:rsid w:val="0002753C"/>
    <w:rsid w:val="000275A6"/>
    <w:rsid w:val="000276D7"/>
    <w:rsid w:val="00027824"/>
    <w:rsid w:val="000279B7"/>
    <w:rsid w:val="00027A26"/>
    <w:rsid w:val="00027ABE"/>
    <w:rsid w:val="00027B45"/>
    <w:rsid w:val="00027B68"/>
    <w:rsid w:val="00027DB2"/>
    <w:rsid w:val="00027E40"/>
    <w:rsid w:val="00027F6C"/>
    <w:rsid w:val="00030219"/>
    <w:rsid w:val="00030241"/>
    <w:rsid w:val="000303FA"/>
    <w:rsid w:val="0003040F"/>
    <w:rsid w:val="00030598"/>
    <w:rsid w:val="0003066C"/>
    <w:rsid w:val="0003077B"/>
    <w:rsid w:val="000307F9"/>
    <w:rsid w:val="00030923"/>
    <w:rsid w:val="00030C4C"/>
    <w:rsid w:val="00030CF9"/>
    <w:rsid w:val="00030E10"/>
    <w:rsid w:val="00030E7F"/>
    <w:rsid w:val="00031064"/>
    <w:rsid w:val="0003106A"/>
    <w:rsid w:val="000310DB"/>
    <w:rsid w:val="0003111C"/>
    <w:rsid w:val="00031136"/>
    <w:rsid w:val="0003113A"/>
    <w:rsid w:val="000311A8"/>
    <w:rsid w:val="000311BF"/>
    <w:rsid w:val="0003149D"/>
    <w:rsid w:val="0003157A"/>
    <w:rsid w:val="00031581"/>
    <w:rsid w:val="00031586"/>
    <w:rsid w:val="000315EB"/>
    <w:rsid w:val="00031A5F"/>
    <w:rsid w:val="00031CF8"/>
    <w:rsid w:val="00031F52"/>
    <w:rsid w:val="00032086"/>
    <w:rsid w:val="00032138"/>
    <w:rsid w:val="00032450"/>
    <w:rsid w:val="000324DE"/>
    <w:rsid w:val="0003254D"/>
    <w:rsid w:val="0003278F"/>
    <w:rsid w:val="0003280C"/>
    <w:rsid w:val="00032C3A"/>
    <w:rsid w:val="00032D4B"/>
    <w:rsid w:val="00032E65"/>
    <w:rsid w:val="00032EAE"/>
    <w:rsid w:val="000330F5"/>
    <w:rsid w:val="0003326A"/>
    <w:rsid w:val="000332EE"/>
    <w:rsid w:val="0003359B"/>
    <w:rsid w:val="000336F8"/>
    <w:rsid w:val="000337C1"/>
    <w:rsid w:val="00033861"/>
    <w:rsid w:val="00033945"/>
    <w:rsid w:val="00033990"/>
    <w:rsid w:val="0003399D"/>
    <w:rsid w:val="0003399E"/>
    <w:rsid w:val="00033B5A"/>
    <w:rsid w:val="00033B8A"/>
    <w:rsid w:val="00033C18"/>
    <w:rsid w:val="00033C59"/>
    <w:rsid w:val="00033DB1"/>
    <w:rsid w:val="00033EDD"/>
    <w:rsid w:val="00033FE6"/>
    <w:rsid w:val="00034138"/>
    <w:rsid w:val="00034337"/>
    <w:rsid w:val="00034354"/>
    <w:rsid w:val="00034467"/>
    <w:rsid w:val="000345B1"/>
    <w:rsid w:val="000345F7"/>
    <w:rsid w:val="0003473F"/>
    <w:rsid w:val="0003491A"/>
    <w:rsid w:val="00034921"/>
    <w:rsid w:val="00034A5A"/>
    <w:rsid w:val="00034A7F"/>
    <w:rsid w:val="00034ACF"/>
    <w:rsid w:val="00034AD4"/>
    <w:rsid w:val="00034C32"/>
    <w:rsid w:val="00034CA9"/>
    <w:rsid w:val="00034E99"/>
    <w:rsid w:val="00034FE8"/>
    <w:rsid w:val="00035052"/>
    <w:rsid w:val="0003514F"/>
    <w:rsid w:val="00035193"/>
    <w:rsid w:val="00035252"/>
    <w:rsid w:val="000352C9"/>
    <w:rsid w:val="000352ED"/>
    <w:rsid w:val="00035674"/>
    <w:rsid w:val="0003569B"/>
    <w:rsid w:val="000356DC"/>
    <w:rsid w:val="000359CB"/>
    <w:rsid w:val="00035AE5"/>
    <w:rsid w:val="00035E54"/>
    <w:rsid w:val="00035F94"/>
    <w:rsid w:val="00036034"/>
    <w:rsid w:val="00036314"/>
    <w:rsid w:val="000363CD"/>
    <w:rsid w:val="00036415"/>
    <w:rsid w:val="000365BA"/>
    <w:rsid w:val="0003696B"/>
    <w:rsid w:val="000369BA"/>
    <w:rsid w:val="00036A05"/>
    <w:rsid w:val="00036A34"/>
    <w:rsid w:val="00036A8A"/>
    <w:rsid w:val="00036AF8"/>
    <w:rsid w:val="00036C39"/>
    <w:rsid w:val="000370B5"/>
    <w:rsid w:val="0003714F"/>
    <w:rsid w:val="00037207"/>
    <w:rsid w:val="000372AB"/>
    <w:rsid w:val="000373BD"/>
    <w:rsid w:val="00037620"/>
    <w:rsid w:val="0003779A"/>
    <w:rsid w:val="00037859"/>
    <w:rsid w:val="00037A17"/>
    <w:rsid w:val="00037A50"/>
    <w:rsid w:val="00037AF2"/>
    <w:rsid w:val="00037AFA"/>
    <w:rsid w:val="00037D42"/>
    <w:rsid w:val="00037DE1"/>
    <w:rsid w:val="00037E0E"/>
    <w:rsid w:val="00040034"/>
    <w:rsid w:val="0004011A"/>
    <w:rsid w:val="00040336"/>
    <w:rsid w:val="00040531"/>
    <w:rsid w:val="0004053D"/>
    <w:rsid w:val="000405C9"/>
    <w:rsid w:val="000406E0"/>
    <w:rsid w:val="00040909"/>
    <w:rsid w:val="00040990"/>
    <w:rsid w:val="00040B05"/>
    <w:rsid w:val="00040DED"/>
    <w:rsid w:val="00041076"/>
    <w:rsid w:val="00041092"/>
    <w:rsid w:val="000410C9"/>
    <w:rsid w:val="000413A9"/>
    <w:rsid w:val="000414E3"/>
    <w:rsid w:val="00041554"/>
    <w:rsid w:val="0004157B"/>
    <w:rsid w:val="000415DA"/>
    <w:rsid w:val="00041638"/>
    <w:rsid w:val="00041841"/>
    <w:rsid w:val="00041879"/>
    <w:rsid w:val="0004187B"/>
    <w:rsid w:val="00041951"/>
    <w:rsid w:val="00041BE6"/>
    <w:rsid w:val="00041CB0"/>
    <w:rsid w:val="00041CED"/>
    <w:rsid w:val="00041D63"/>
    <w:rsid w:val="000420DC"/>
    <w:rsid w:val="00042306"/>
    <w:rsid w:val="000423D8"/>
    <w:rsid w:val="00042478"/>
    <w:rsid w:val="00042692"/>
    <w:rsid w:val="0004273A"/>
    <w:rsid w:val="0004274D"/>
    <w:rsid w:val="0004277F"/>
    <w:rsid w:val="00042919"/>
    <w:rsid w:val="00042994"/>
    <w:rsid w:val="00042B75"/>
    <w:rsid w:val="00042B80"/>
    <w:rsid w:val="00042B87"/>
    <w:rsid w:val="00042BF9"/>
    <w:rsid w:val="00042C1E"/>
    <w:rsid w:val="00042CC4"/>
    <w:rsid w:val="00042D70"/>
    <w:rsid w:val="00042D73"/>
    <w:rsid w:val="00042E53"/>
    <w:rsid w:val="00042EC7"/>
    <w:rsid w:val="0004306F"/>
    <w:rsid w:val="00043166"/>
    <w:rsid w:val="00043187"/>
    <w:rsid w:val="000432DB"/>
    <w:rsid w:val="00043348"/>
    <w:rsid w:val="000433EF"/>
    <w:rsid w:val="0004340E"/>
    <w:rsid w:val="00043602"/>
    <w:rsid w:val="0004381C"/>
    <w:rsid w:val="0004387F"/>
    <w:rsid w:val="00043AC5"/>
    <w:rsid w:val="00043B5D"/>
    <w:rsid w:val="00043B90"/>
    <w:rsid w:val="00043BBE"/>
    <w:rsid w:val="00043BC9"/>
    <w:rsid w:val="00043D0D"/>
    <w:rsid w:val="00043D7A"/>
    <w:rsid w:val="00043DF0"/>
    <w:rsid w:val="00043E31"/>
    <w:rsid w:val="00043F7B"/>
    <w:rsid w:val="00043FC3"/>
    <w:rsid w:val="00044068"/>
    <w:rsid w:val="00044122"/>
    <w:rsid w:val="00044181"/>
    <w:rsid w:val="00044187"/>
    <w:rsid w:val="00044293"/>
    <w:rsid w:val="000443D8"/>
    <w:rsid w:val="0004440F"/>
    <w:rsid w:val="00044416"/>
    <w:rsid w:val="000444C4"/>
    <w:rsid w:val="000446AB"/>
    <w:rsid w:val="00044827"/>
    <w:rsid w:val="0004483F"/>
    <w:rsid w:val="00044984"/>
    <w:rsid w:val="00044B04"/>
    <w:rsid w:val="00044B87"/>
    <w:rsid w:val="00044C46"/>
    <w:rsid w:val="00044C7E"/>
    <w:rsid w:val="00044DE4"/>
    <w:rsid w:val="00044EDE"/>
    <w:rsid w:val="00044EE2"/>
    <w:rsid w:val="00044FC7"/>
    <w:rsid w:val="000450BB"/>
    <w:rsid w:val="000450BC"/>
    <w:rsid w:val="000451C3"/>
    <w:rsid w:val="000451CA"/>
    <w:rsid w:val="0004524D"/>
    <w:rsid w:val="00045300"/>
    <w:rsid w:val="00045337"/>
    <w:rsid w:val="000453FD"/>
    <w:rsid w:val="000456C1"/>
    <w:rsid w:val="0004577C"/>
    <w:rsid w:val="000457A8"/>
    <w:rsid w:val="00045BD3"/>
    <w:rsid w:val="00045C28"/>
    <w:rsid w:val="00045C2E"/>
    <w:rsid w:val="00045CB7"/>
    <w:rsid w:val="00045D62"/>
    <w:rsid w:val="00045E1D"/>
    <w:rsid w:val="00045F74"/>
    <w:rsid w:val="00046136"/>
    <w:rsid w:val="00046205"/>
    <w:rsid w:val="00046276"/>
    <w:rsid w:val="0004643A"/>
    <w:rsid w:val="000464D1"/>
    <w:rsid w:val="000467E4"/>
    <w:rsid w:val="000468C8"/>
    <w:rsid w:val="00046A09"/>
    <w:rsid w:val="00046A86"/>
    <w:rsid w:val="00046CB4"/>
    <w:rsid w:val="00046CC6"/>
    <w:rsid w:val="00046D70"/>
    <w:rsid w:val="00046D76"/>
    <w:rsid w:val="00046DB4"/>
    <w:rsid w:val="00046DD8"/>
    <w:rsid w:val="00046E0B"/>
    <w:rsid w:val="000470A6"/>
    <w:rsid w:val="000472A1"/>
    <w:rsid w:val="00047338"/>
    <w:rsid w:val="000476A4"/>
    <w:rsid w:val="0004780C"/>
    <w:rsid w:val="00047987"/>
    <w:rsid w:val="000479BF"/>
    <w:rsid w:val="00047A77"/>
    <w:rsid w:val="00047AA5"/>
    <w:rsid w:val="00047CFE"/>
    <w:rsid w:val="00047DA7"/>
    <w:rsid w:val="00047E1C"/>
    <w:rsid w:val="00047F0C"/>
    <w:rsid w:val="00050134"/>
    <w:rsid w:val="0005017D"/>
    <w:rsid w:val="0005019B"/>
    <w:rsid w:val="00050295"/>
    <w:rsid w:val="00050391"/>
    <w:rsid w:val="00050442"/>
    <w:rsid w:val="00050532"/>
    <w:rsid w:val="00050633"/>
    <w:rsid w:val="00050799"/>
    <w:rsid w:val="000507A2"/>
    <w:rsid w:val="00050961"/>
    <w:rsid w:val="00050999"/>
    <w:rsid w:val="000509E4"/>
    <w:rsid w:val="00050A99"/>
    <w:rsid w:val="00050AFB"/>
    <w:rsid w:val="00050B86"/>
    <w:rsid w:val="00050C71"/>
    <w:rsid w:val="00050D40"/>
    <w:rsid w:val="00050D69"/>
    <w:rsid w:val="00050D79"/>
    <w:rsid w:val="00050DA8"/>
    <w:rsid w:val="00050DCD"/>
    <w:rsid w:val="00050E3C"/>
    <w:rsid w:val="00050EF0"/>
    <w:rsid w:val="00050F14"/>
    <w:rsid w:val="00050FED"/>
    <w:rsid w:val="00051153"/>
    <w:rsid w:val="00051243"/>
    <w:rsid w:val="00051250"/>
    <w:rsid w:val="00051340"/>
    <w:rsid w:val="0005138B"/>
    <w:rsid w:val="000513AA"/>
    <w:rsid w:val="000513F1"/>
    <w:rsid w:val="000514B6"/>
    <w:rsid w:val="0005158F"/>
    <w:rsid w:val="00051707"/>
    <w:rsid w:val="0005177F"/>
    <w:rsid w:val="0005180F"/>
    <w:rsid w:val="000518D0"/>
    <w:rsid w:val="0005197C"/>
    <w:rsid w:val="00051A06"/>
    <w:rsid w:val="00051BF3"/>
    <w:rsid w:val="00051C20"/>
    <w:rsid w:val="00051DC7"/>
    <w:rsid w:val="00051E41"/>
    <w:rsid w:val="00051FBA"/>
    <w:rsid w:val="00051FC4"/>
    <w:rsid w:val="0005206E"/>
    <w:rsid w:val="00052078"/>
    <w:rsid w:val="000520D6"/>
    <w:rsid w:val="000522B7"/>
    <w:rsid w:val="000522E7"/>
    <w:rsid w:val="00052362"/>
    <w:rsid w:val="000523B2"/>
    <w:rsid w:val="0005243B"/>
    <w:rsid w:val="000526D2"/>
    <w:rsid w:val="00052755"/>
    <w:rsid w:val="0005280C"/>
    <w:rsid w:val="00052A1A"/>
    <w:rsid w:val="00052D68"/>
    <w:rsid w:val="00052D7A"/>
    <w:rsid w:val="00052F45"/>
    <w:rsid w:val="00052F5E"/>
    <w:rsid w:val="00052F80"/>
    <w:rsid w:val="00052FFE"/>
    <w:rsid w:val="0005317B"/>
    <w:rsid w:val="0005334D"/>
    <w:rsid w:val="000533EA"/>
    <w:rsid w:val="00053422"/>
    <w:rsid w:val="00053597"/>
    <w:rsid w:val="000535C4"/>
    <w:rsid w:val="0005367C"/>
    <w:rsid w:val="000536F4"/>
    <w:rsid w:val="00053717"/>
    <w:rsid w:val="00053863"/>
    <w:rsid w:val="0005386F"/>
    <w:rsid w:val="000538CD"/>
    <w:rsid w:val="00053950"/>
    <w:rsid w:val="00053A10"/>
    <w:rsid w:val="00053A5A"/>
    <w:rsid w:val="00053DDF"/>
    <w:rsid w:val="00053F7D"/>
    <w:rsid w:val="00054151"/>
    <w:rsid w:val="00054160"/>
    <w:rsid w:val="000541D3"/>
    <w:rsid w:val="00054254"/>
    <w:rsid w:val="00054262"/>
    <w:rsid w:val="00054337"/>
    <w:rsid w:val="00054485"/>
    <w:rsid w:val="0005466C"/>
    <w:rsid w:val="000548A2"/>
    <w:rsid w:val="00054949"/>
    <w:rsid w:val="000549C6"/>
    <w:rsid w:val="00054A5B"/>
    <w:rsid w:val="00054A67"/>
    <w:rsid w:val="00054A7A"/>
    <w:rsid w:val="00054B31"/>
    <w:rsid w:val="00054BF0"/>
    <w:rsid w:val="00054BF7"/>
    <w:rsid w:val="00054C2D"/>
    <w:rsid w:val="00054E3D"/>
    <w:rsid w:val="00054F67"/>
    <w:rsid w:val="0005508D"/>
    <w:rsid w:val="00055218"/>
    <w:rsid w:val="000552FF"/>
    <w:rsid w:val="00055452"/>
    <w:rsid w:val="0005551D"/>
    <w:rsid w:val="00055696"/>
    <w:rsid w:val="00055782"/>
    <w:rsid w:val="00055824"/>
    <w:rsid w:val="00055845"/>
    <w:rsid w:val="00055894"/>
    <w:rsid w:val="0005593D"/>
    <w:rsid w:val="0005593E"/>
    <w:rsid w:val="00055948"/>
    <w:rsid w:val="00055AC7"/>
    <w:rsid w:val="00055AFC"/>
    <w:rsid w:val="00055D85"/>
    <w:rsid w:val="00055E17"/>
    <w:rsid w:val="00055F67"/>
    <w:rsid w:val="00055FE4"/>
    <w:rsid w:val="00056035"/>
    <w:rsid w:val="000561CB"/>
    <w:rsid w:val="00056523"/>
    <w:rsid w:val="00056533"/>
    <w:rsid w:val="00056660"/>
    <w:rsid w:val="00056759"/>
    <w:rsid w:val="0005685F"/>
    <w:rsid w:val="00056880"/>
    <w:rsid w:val="000568B3"/>
    <w:rsid w:val="000568BB"/>
    <w:rsid w:val="00056936"/>
    <w:rsid w:val="00056ABB"/>
    <w:rsid w:val="00056AD7"/>
    <w:rsid w:val="00056BB1"/>
    <w:rsid w:val="00056BDA"/>
    <w:rsid w:val="00056C26"/>
    <w:rsid w:val="00056C69"/>
    <w:rsid w:val="00057170"/>
    <w:rsid w:val="000571F4"/>
    <w:rsid w:val="00057271"/>
    <w:rsid w:val="00057336"/>
    <w:rsid w:val="00057452"/>
    <w:rsid w:val="00057486"/>
    <w:rsid w:val="0005749F"/>
    <w:rsid w:val="00057546"/>
    <w:rsid w:val="000575BC"/>
    <w:rsid w:val="000576AB"/>
    <w:rsid w:val="00057743"/>
    <w:rsid w:val="0005786D"/>
    <w:rsid w:val="00057871"/>
    <w:rsid w:val="0005789A"/>
    <w:rsid w:val="000578B3"/>
    <w:rsid w:val="00057943"/>
    <w:rsid w:val="00057963"/>
    <w:rsid w:val="000579C6"/>
    <w:rsid w:val="00057A50"/>
    <w:rsid w:val="00057B58"/>
    <w:rsid w:val="00057C72"/>
    <w:rsid w:val="00057E32"/>
    <w:rsid w:val="00057EE4"/>
    <w:rsid w:val="00057F97"/>
    <w:rsid w:val="0006006F"/>
    <w:rsid w:val="00060094"/>
    <w:rsid w:val="00060198"/>
    <w:rsid w:val="000602A5"/>
    <w:rsid w:val="000602AC"/>
    <w:rsid w:val="000602E9"/>
    <w:rsid w:val="00060599"/>
    <w:rsid w:val="0006068F"/>
    <w:rsid w:val="000606FB"/>
    <w:rsid w:val="00060703"/>
    <w:rsid w:val="00060719"/>
    <w:rsid w:val="0006081E"/>
    <w:rsid w:val="00060829"/>
    <w:rsid w:val="000608EA"/>
    <w:rsid w:val="000609D8"/>
    <w:rsid w:val="000609E8"/>
    <w:rsid w:val="00060B8F"/>
    <w:rsid w:val="00060D1F"/>
    <w:rsid w:val="00060D62"/>
    <w:rsid w:val="00060E37"/>
    <w:rsid w:val="00060E5D"/>
    <w:rsid w:val="00060ECB"/>
    <w:rsid w:val="00060ED4"/>
    <w:rsid w:val="00060FAD"/>
    <w:rsid w:val="00060FBD"/>
    <w:rsid w:val="00060FF0"/>
    <w:rsid w:val="00061098"/>
    <w:rsid w:val="0006109C"/>
    <w:rsid w:val="0006110F"/>
    <w:rsid w:val="00061140"/>
    <w:rsid w:val="00061199"/>
    <w:rsid w:val="0006121B"/>
    <w:rsid w:val="0006128A"/>
    <w:rsid w:val="0006128D"/>
    <w:rsid w:val="00061294"/>
    <w:rsid w:val="00061355"/>
    <w:rsid w:val="0006141D"/>
    <w:rsid w:val="00061475"/>
    <w:rsid w:val="000614B1"/>
    <w:rsid w:val="000614C7"/>
    <w:rsid w:val="000615F9"/>
    <w:rsid w:val="0006172B"/>
    <w:rsid w:val="0006177D"/>
    <w:rsid w:val="00061863"/>
    <w:rsid w:val="0006187B"/>
    <w:rsid w:val="000618B5"/>
    <w:rsid w:val="000618C4"/>
    <w:rsid w:val="00061A8D"/>
    <w:rsid w:val="00061ADE"/>
    <w:rsid w:val="00061B76"/>
    <w:rsid w:val="00061CE7"/>
    <w:rsid w:val="00061D63"/>
    <w:rsid w:val="00061EDA"/>
    <w:rsid w:val="00061EF7"/>
    <w:rsid w:val="00062075"/>
    <w:rsid w:val="00062118"/>
    <w:rsid w:val="00062179"/>
    <w:rsid w:val="00062260"/>
    <w:rsid w:val="000622EF"/>
    <w:rsid w:val="00062358"/>
    <w:rsid w:val="00062440"/>
    <w:rsid w:val="000624BF"/>
    <w:rsid w:val="00062702"/>
    <w:rsid w:val="000628DC"/>
    <w:rsid w:val="00062990"/>
    <w:rsid w:val="00062B13"/>
    <w:rsid w:val="00062C4B"/>
    <w:rsid w:val="00062D27"/>
    <w:rsid w:val="00062D5F"/>
    <w:rsid w:val="00062DD6"/>
    <w:rsid w:val="00062E39"/>
    <w:rsid w:val="00062F1F"/>
    <w:rsid w:val="00063035"/>
    <w:rsid w:val="000632B3"/>
    <w:rsid w:val="000632C5"/>
    <w:rsid w:val="00063334"/>
    <w:rsid w:val="000633E2"/>
    <w:rsid w:val="0006342C"/>
    <w:rsid w:val="00063551"/>
    <w:rsid w:val="0006358C"/>
    <w:rsid w:val="00063723"/>
    <w:rsid w:val="00063786"/>
    <w:rsid w:val="000637BA"/>
    <w:rsid w:val="00063937"/>
    <w:rsid w:val="0006396C"/>
    <w:rsid w:val="000639BE"/>
    <w:rsid w:val="000639EE"/>
    <w:rsid w:val="00063A94"/>
    <w:rsid w:val="00063E17"/>
    <w:rsid w:val="00063E55"/>
    <w:rsid w:val="00063E72"/>
    <w:rsid w:val="00063E81"/>
    <w:rsid w:val="00063FF3"/>
    <w:rsid w:val="000641F9"/>
    <w:rsid w:val="00064280"/>
    <w:rsid w:val="00064315"/>
    <w:rsid w:val="00064345"/>
    <w:rsid w:val="000643F0"/>
    <w:rsid w:val="00064694"/>
    <w:rsid w:val="0006469E"/>
    <w:rsid w:val="0006470C"/>
    <w:rsid w:val="0006493A"/>
    <w:rsid w:val="00064B25"/>
    <w:rsid w:val="00064B4E"/>
    <w:rsid w:val="00064B77"/>
    <w:rsid w:val="00064C50"/>
    <w:rsid w:val="00064C75"/>
    <w:rsid w:val="00064D06"/>
    <w:rsid w:val="00064EAB"/>
    <w:rsid w:val="00065112"/>
    <w:rsid w:val="0006516A"/>
    <w:rsid w:val="000652EB"/>
    <w:rsid w:val="000654E2"/>
    <w:rsid w:val="0006558E"/>
    <w:rsid w:val="000657E8"/>
    <w:rsid w:val="00065919"/>
    <w:rsid w:val="00065BCE"/>
    <w:rsid w:val="00065D4A"/>
    <w:rsid w:val="00065F3B"/>
    <w:rsid w:val="00065FFD"/>
    <w:rsid w:val="00066075"/>
    <w:rsid w:val="000661B7"/>
    <w:rsid w:val="00066215"/>
    <w:rsid w:val="00066343"/>
    <w:rsid w:val="0006655C"/>
    <w:rsid w:val="00066641"/>
    <w:rsid w:val="00066667"/>
    <w:rsid w:val="000667BD"/>
    <w:rsid w:val="000668A2"/>
    <w:rsid w:val="000668D5"/>
    <w:rsid w:val="00066985"/>
    <w:rsid w:val="00066A21"/>
    <w:rsid w:val="00066AB1"/>
    <w:rsid w:val="00066B84"/>
    <w:rsid w:val="00066C2D"/>
    <w:rsid w:val="00066C50"/>
    <w:rsid w:val="00066D20"/>
    <w:rsid w:val="00066E8B"/>
    <w:rsid w:val="000670FC"/>
    <w:rsid w:val="00067252"/>
    <w:rsid w:val="00067260"/>
    <w:rsid w:val="0006737F"/>
    <w:rsid w:val="000675D1"/>
    <w:rsid w:val="0006761F"/>
    <w:rsid w:val="000676BA"/>
    <w:rsid w:val="000677BF"/>
    <w:rsid w:val="00067850"/>
    <w:rsid w:val="000678EF"/>
    <w:rsid w:val="000679FB"/>
    <w:rsid w:val="00067A3F"/>
    <w:rsid w:val="00067B78"/>
    <w:rsid w:val="00067E63"/>
    <w:rsid w:val="00070070"/>
    <w:rsid w:val="0007020C"/>
    <w:rsid w:val="00070289"/>
    <w:rsid w:val="000702DA"/>
    <w:rsid w:val="000704FE"/>
    <w:rsid w:val="00070509"/>
    <w:rsid w:val="0007062B"/>
    <w:rsid w:val="000707E6"/>
    <w:rsid w:val="00070894"/>
    <w:rsid w:val="0007091E"/>
    <w:rsid w:val="00070923"/>
    <w:rsid w:val="0007096A"/>
    <w:rsid w:val="00070A01"/>
    <w:rsid w:val="00070A1E"/>
    <w:rsid w:val="00070B36"/>
    <w:rsid w:val="00070BAF"/>
    <w:rsid w:val="00070D73"/>
    <w:rsid w:val="00070D7C"/>
    <w:rsid w:val="00070E89"/>
    <w:rsid w:val="00070F51"/>
    <w:rsid w:val="00071195"/>
    <w:rsid w:val="00071214"/>
    <w:rsid w:val="0007139C"/>
    <w:rsid w:val="0007157F"/>
    <w:rsid w:val="000716F9"/>
    <w:rsid w:val="000716FA"/>
    <w:rsid w:val="0007193A"/>
    <w:rsid w:val="000719C0"/>
    <w:rsid w:val="00071E64"/>
    <w:rsid w:val="00071F69"/>
    <w:rsid w:val="00072030"/>
    <w:rsid w:val="0007217F"/>
    <w:rsid w:val="000721F2"/>
    <w:rsid w:val="000722D7"/>
    <w:rsid w:val="00072582"/>
    <w:rsid w:val="000726A6"/>
    <w:rsid w:val="0007287B"/>
    <w:rsid w:val="00072A0B"/>
    <w:rsid w:val="00072A2C"/>
    <w:rsid w:val="00072A99"/>
    <w:rsid w:val="00072A9B"/>
    <w:rsid w:val="00072B0F"/>
    <w:rsid w:val="00072D98"/>
    <w:rsid w:val="00072DD6"/>
    <w:rsid w:val="00072F67"/>
    <w:rsid w:val="000730E6"/>
    <w:rsid w:val="000731D0"/>
    <w:rsid w:val="00073414"/>
    <w:rsid w:val="0007341C"/>
    <w:rsid w:val="00073521"/>
    <w:rsid w:val="000735CF"/>
    <w:rsid w:val="00073641"/>
    <w:rsid w:val="00073644"/>
    <w:rsid w:val="000736F2"/>
    <w:rsid w:val="00073853"/>
    <w:rsid w:val="00073966"/>
    <w:rsid w:val="0007398F"/>
    <w:rsid w:val="00073A85"/>
    <w:rsid w:val="00073D02"/>
    <w:rsid w:val="00073D81"/>
    <w:rsid w:val="00073E27"/>
    <w:rsid w:val="0007401F"/>
    <w:rsid w:val="00074036"/>
    <w:rsid w:val="0007404E"/>
    <w:rsid w:val="00074069"/>
    <w:rsid w:val="0007414E"/>
    <w:rsid w:val="00074325"/>
    <w:rsid w:val="00074330"/>
    <w:rsid w:val="0007433F"/>
    <w:rsid w:val="00074362"/>
    <w:rsid w:val="000743F7"/>
    <w:rsid w:val="0007444E"/>
    <w:rsid w:val="00074895"/>
    <w:rsid w:val="000748A9"/>
    <w:rsid w:val="00074938"/>
    <w:rsid w:val="0007497E"/>
    <w:rsid w:val="0007499C"/>
    <w:rsid w:val="000749F4"/>
    <w:rsid w:val="00074B27"/>
    <w:rsid w:val="00074BCF"/>
    <w:rsid w:val="00074C04"/>
    <w:rsid w:val="00074E2D"/>
    <w:rsid w:val="00074E83"/>
    <w:rsid w:val="00074ED8"/>
    <w:rsid w:val="00074F57"/>
    <w:rsid w:val="000751C9"/>
    <w:rsid w:val="0007549C"/>
    <w:rsid w:val="00075515"/>
    <w:rsid w:val="00075619"/>
    <w:rsid w:val="00075620"/>
    <w:rsid w:val="000758CF"/>
    <w:rsid w:val="00075928"/>
    <w:rsid w:val="00075942"/>
    <w:rsid w:val="00075A59"/>
    <w:rsid w:val="00075EA5"/>
    <w:rsid w:val="00075F31"/>
    <w:rsid w:val="000761D6"/>
    <w:rsid w:val="00076237"/>
    <w:rsid w:val="0007629A"/>
    <w:rsid w:val="0007636F"/>
    <w:rsid w:val="00076492"/>
    <w:rsid w:val="000764D2"/>
    <w:rsid w:val="0007650D"/>
    <w:rsid w:val="0007659D"/>
    <w:rsid w:val="0007678D"/>
    <w:rsid w:val="00076813"/>
    <w:rsid w:val="0007691A"/>
    <w:rsid w:val="00076937"/>
    <w:rsid w:val="00076B0E"/>
    <w:rsid w:val="00076DFF"/>
    <w:rsid w:val="00076F89"/>
    <w:rsid w:val="0007707B"/>
    <w:rsid w:val="000771BC"/>
    <w:rsid w:val="000771F5"/>
    <w:rsid w:val="00077373"/>
    <w:rsid w:val="000773E8"/>
    <w:rsid w:val="0007755C"/>
    <w:rsid w:val="000775DE"/>
    <w:rsid w:val="00077716"/>
    <w:rsid w:val="0007778C"/>
    <w:rsid w:val="000777AE"/>
    <w:rsid w:val="00077A17"/>
    <w:rsid w:val="00077A1F"/>
    <w:rsid w:val="00077BB4"/>
    <w:rsid w:val="00077BDD"/>
    <w:rsid w:val="00077C2D"/>
    <w:rsid w:val="00077C37"/>
    <w:rsid w:val="00077C3D"/>
    <w:rsid w:val="00077FF7"/>
    <w:rsid w:val="00080031"/>
    <w:rsid w:val="0008018C"/>
    <w:rsid w:val="00080193"/>
    <w:rsid w:val="000802F2"/>
    <w:rsid w:val="0008037D"/>
    <w:rsid w:val="000804B1"/>
    <w:rsid w:val="000805C4"/>
    <w:rsid w:val="0008066B"/>
    <w:rsid w:val="00080698"/>
    <w:rsid w:val="000806F4"/>
    <w:rsid w:val="00080715"/>
    <w:rsid w:val="00080762"/>
    <w:rsid w:val="00080799"/>
    <w:rsid w:val="000807C4"/>
    <w:rsid w:val="0008091A"/>
    <w:rsid w:val="00080B6E"/>
    <w:rsid w:val="00080B7D"/>
    <w:rsid w:val="00080D5E"/>
    <w:rsid w:val="00080E73"/>
    <w:rsid w:val="00080FAB"/>
    <w:rsid w:val="000811B9"/>
    <w:rsid w:val="00081238"/>
    <w:rsid w:val="000814C5"/>
    <w:rsid w:val="00081567"/>
    <w:rsid w:val="000815F0"/>
    <w:rsid w:val="000816AD"/>
    <w:rsid w:val="0008171D"/>
    <w:rsid w:val="00081724"/>
    <w:rsid w:val="000817D1"/>
    <w:rsid w:val="00081972"/>
    <w:rsid w:val="00081B58"/>
    <w:rsid w:val="00081BD8"/>
    <w:rsid w:val="00081D56"/>
    <w:rsid w:val="00081E3A"/>
    <w:rsid w:val="00081E40"/>
    <w:rsid w:val="00081EAF"/>
    <w:rsid w:val="00081F8E"/>
    <w:rsid w:val="00081FCE"/>
    <w:rsid w:val="000820DE"/>
    <w:rsid w:val="000820FE"/>
    <w:rsid w:val="0008212B"/>
    <w:rsid w:val="00082187"/>
    <w:rsid w:val="000821B7"/>
    <w:rsid w:val="000822B9"/>
    <w:rsid w:val="000822D5"/>
    <w:rsid w:val="000822F4"/>
    <w:rsid w:val="00082345"/>
    <w:rsid w:val="000824DD"/>
    <w:rsid w:val="00082583"/>
    <w:rsid w:val="000825C3"/>
    <w:rsid w:val="00082696"/>
    <w:rsid w:val="000828F6"/>
    <w:rsid w:val="00082955"/>
    <w:rsid w:val="00082A32"/>
    <w:rsid w:val="00082A9D"/>
    <w:rsid w:val="00082B0B"/>
    <w:rsid w:val="00082BCB"/>
    <w:rsid w:val="00082C4B"/>
    <w:rsid w:val="00082FC1"/>
    <w:rsid w:val="000830A2"/>
    <w:rsid w:val="000830E8"/>
    <w:rsid w:val="0008315B"/>
    <w:rsid w:val="00083198"/>
    <w:rsid w:val="000831BC"/>
    <w:rsid w:val="00083201"/>
    <w:rsid w:val="00083269"/>
    <w:rsid w:val="00083345"/>
    <w:rsid w:val="0008350F"/>
    <w:rsid w:val="000835D1"/>
    <w:rsid w:val="0008361C"/>
    <w:rsid w:val="000836A5"/>
    <w:rsid w:val="000837F5"/>
    <w:rsid w:val="000837F6"/>
    <w:rsid w:val="0008392C"/>
    <w:rsid w:val="00083A10"/>
    <w:rsid w:val="00083C47"/>
    <w:rsid w:val="00083DA6"/>
    <w:rsid w:val="00083DE5"/>
    <w:rsid w:val="00083ED0"/>
    <w:rsid w:val="00083FAA"/>
    <w:rsid w:val="00084200"/>
    <w:rsid w:val="00084273"/>
    <w:rsid w:val="000844BB"/>
    <w:rsid w:val="000844E6"/>
    <w:rsid w:val="00084562"/>
    <w:rsid w:val="0008463E"/>
    <w:rsid w:val="0008470E"/>
    <w:rsid w:val="00084896"/>
    <w:rsid w:val="00084CF3"/>
    <w:rsid w:val="00084D6D"/>
    <w:rsid w:val="00084E4F"/>
    <w:rsid w:val="00084E87"/>
    <w:rsid w:val="00084EBF"/>
    <w:rsid w:val="00084FA7"/>
    <w:rsid w:val="000850EB"/>
    <w:rsid w:val="000850F7"/>
    <w:rsid w:val="000851C6"/>
    <w:rsid w:val="000851F2"/>
    <w:rsid w:val="00085280"/>
    <w:rsid w:val="000853F1"/>
    <w:rsid w:val="00085536"/>
    <w:rsid w:val="0008557B"/>
    <w:rsid w:val="00085691"/>
    <w:rsid w:val="000856AD"/>
    <w:rsid w:val="0008572B"/>
    <w:rsid w:val="00085A99"/>
    <w:rsid w:val="00085C26"/>
    <w:rsid w:val="00085D51"/>
    <w:rsid w:val="00085D81"/>
    <w:rsid w:val="00085F48"/>
    <w:rsid w:val="00086048"/>
    <w:rsid w:val="000860EE"/>
    <w:rsid w:val="00086122"/>
    <w:rsid w:val="000862A1"/>
    <w:rsid w:val="00086331"/>
    <w:rsid w:val="000863BF"/>
    <w:rsid w:val="0008656D"/>
    <w:rsid w:val="0008666A"/>
    <w:rsid w:val="00086760"/>
    <w:rsid w:val="00086783"/>
    <w:rsid w:val="00086858"/>
    <w:rsid w:val="0008685A"/>
    <w:rsid w:val="00086868"/>
    <w:rsid w:val="000868F8"/>
    <w:rsid w:val="00086915"/>
    <w:rsid w:val="00086992"/>
    <w:rsid w:val="00086999"/>
    <w:rsid w:val="000869ED"/>
    <w:rsid w:val="00086B0B"/>
    <w:rsid w:val="00086B3A"/>
    <w:rsid w:val="00086DA4"/>
    <w:rsid w:val="00086DAA"/>
    <w:rsid w:val="00086DAD"/>
    <w:rsid w:val="00086DCC"/>
    <w:rsid w:val="00086E5C"/>
    <w:rsid w:val="00086F03"/>
    <w:rsid w:val="00086F55"/>
    <w:rsid w:val="0008700C"/>
    <w:rsid w:val="000872D7"/>
    <w:rsid w:val="000872E4"/>
    <w:rsid w:val="00087368"/>
    <w:rsid w:val="00087379"/>
    <w:rsid w:val="000873CC"/>
    <w:rsid w:val="0008760D"/>
    <w:rsid w:val="000877E8"/>
    <w:rsid w:val="000878AD"/>
    <w:rsid w:val="00087ABA"/>
    <w:rsid w:val="00087B9B"/>
    <w:rsid w:val="00087C5A"/>
    <w:rsid w:val="00087F7D"/>
    <w:rsid w:val="00087FAF"/>
    <w:rsid w:val="00087FC9"/>
    <w:rsid w:val="00090160"/>
    <w:rsid w:val="000901F3"/>
    <w:rsid w:val="00090423"/>
    <w:rsid w:val="00090469"/>
    <w:rsid w:val="00090530"/>
    <w:rsid w:val="00090577"/>
    <w:rsid w:val="00090622"/>
    <w:rsid w:val="00090749"/>
    <w:rsid w:val="0009079D"/>
    <w:rsid w:val="00090907"/>
    <w:rsid w:val="0009092D"/>
    <w:rsid w:val="0009099D"/>
    <w:rsid w:val="00090A85"/>
    <w:rsid w:val="00090A86"/>
    <w:rsid w:val="00090AB8"/>
    <w:rsid w:val="00090BD7"/>
    <w:rsid w:val="00090DB3"/>
    <w:rsid w:val="00090E21"/>
    <w:rsid w:val="00090EAF"/>
    <w:rsid w:val="0009100F"/>
    <w:rsid w:val="00091025"/>
    <w:rsid w:val="00091030"/>
    <w:rsid w:val="00091099"/>
    <w:rsid w:val="000910B9"/>
    <w:rsid w:val="000912BB"/>
    <w:rsid w:val="00091330"/>
    <w:rsid w:val="000913E2"/>
    <w:rsid w:val="00091415"/>
    <w:rsid w:val="000914AA"/>
    <w:rsid w:val="0009154F"/>
    <w:rsid w:val="000915DB"/>
    <w:rsid w:val="00091671"/>
    <w:rsid w:val="0009168F"/>
    <w:rsid w:val="000916ED"/>
    <w:rsid w:val="00091A03"/>
    <w:rsid w:val="00091AAC"/>
    <w:rsid w:val="00091C0F"/>
    <w:rsid w:val="00091C1D"/>
    <w:rsid w:val="00091C62"/>
    <w:rsid w:val="00091CC3"/>
    <w:rsid w:val="00091D67"/>
    <w:rsid w:val="00091E2F"/>
    <w:rsid w:val="00091E6C"/>
    <w:rsid w:val="00091E98"/>
    <w:rsid w:val="00091ED6"/>
    <w:rsid w:val="00092012"/>
    <w:rsid w:val="000921E9"/>
    <w:rsid w:val="000921F8"/>
    <w:rsid w:val="00092461"/>
    <w:rsid w:val="00092497"/>
    <w:rsid w:val="00092663"/>
    <w:rsid w:val="000926B6"/>
    <w:rsid w:val="000926E8"/>
    <w:rsid w:val="00092958"/>
    <w:rsid w:val="00092A0C"/>
    <w:rsid w:val="00092A85"/>
    <w:rsid w:val="00092DD9"/>
    <w:rsid w:val="00092E07"/>
    <w:rsid w:val="00092FE6"/>
    <w:rsid w:val="00092FE8"/>
    <w:rsid w:val="00093114"/>
    <w:rsid w:val="00093266"/>
    <w:rsid w:val="000937BA"/>
    <w:rsid w:val="00093A0A"/>
    <w:rsid w:val="00093AA1"/>
    <w:rsid w:val="00093AF9"/>
    <w:rsid w:val="00093AFA"/>
    <w:rsid w:val="00093C08"/>
    <w:rsid w:val="00093CFF"/>
    <w:rsid w:val="00093DED"/>
    <w:rsid w:val="00093E46"/>
    <w:rsid w:val="00093ECA"/>
    <w:rsid w:val="00093FA9"/>
    <w:rsid w:val="00094085"/>
    <w:rsid w:val="000940BE"/>
    <w:rsid w:val="00094185"/>
    <w:rsid w:val="00094187"/>
    <w:rsid w:val="000942CC"/>
    <w:rsid w:val="00094384"/>
    <w:rsid w:val="000943A6"/>
    <w:rsid w:val="00094595"/>
    <w:rsid w:val="00094669"/>
    <w:rsid w:val="0009467D"/>
    <w:rsid w:val="000947B1"/>
    <w:rsid w:val="0009486D"/>
    <w:rsid w:val="0009491F"/>
    <w:rsid w:val="00094B6F"/>
    <w:rsid w:val="00094D08"/>
    <w:rsid w:val="00094DBA"/>
    <w:rsid w:val="00094E48"/>
    <w:rsid w:val="00094F0E"/>
    <w:rsid w:val="00094F55"/>
    <w:rsid w:val="00094F62"/>
    <w:rsid w:val="00095046"/>
    <w:rsid w:val="000951B2"/>
    <w:rsid w:val="00095255"/>
    <w:rsid w:val="00095450"/>
    <w:rsid w:val="00095530"/>
    <w:rsid w:val="00095606"/>
    <w:rsid w:val="00095714"/>
    <w:rsid w:val="00095780"/>
    <w:rsid w:val="00095966"/>
    <w:rsid w:val="00095A65"/>
    <w:rsid w:val="00095AC0"/>
    <w:rsid w:val="00095BA8"/>
    <w:rsid w:val="00095C38"/>
    <w:rsid w:val="00095C48"/>
    <w:rsid w:val="00095C53"/>
    <w:rsid w:val="00095CFF"/>
    <w:rsid w:val="00095D68"/>
    <w:rsid w:val="00095D88"/>
    <w:rsid w:val="00096226"/>
    <w:rsid w:val="000962E9"/>
    <w:rsid w:val="000962F3"/>
    <w:rsid w:val="000963AB"/>
    <w:rsid w:val="0009646B"/>
    <w:rsid w:val="00096663"/>
    <w:rsid w:val="0009670C"/>
    <w:rsid w:val="000968A6"/>
    <w:rsid w:val="0009699F"/>
    <w:rsid w:val="00096A78"/>
    <w:rsid w:val="00096A97"/>
    <w:rsid w:val="00096B84"/>
    <w:rsid w:val="00096B9D"/>
    <w:rsid w:val="00096C2B"/>
    <w:rsid w:val="00096CE7"/>
    <w:rsid w:val="00096DB0"/>
    <w:rsid w:val="00097487"/>
    <w:rsid w:val="0009754F"/>
    <w:rsid w:val="00097650"/>
    <w:rsid w:val="00097773"/>
    <w:rsid w:val="00097798"/>
    <w:rsid w:val="000977CC"/>
    <w:rsid w:val="000978E4"/>
    <w:rsid w:val="00097903"/>
    <w:rsid w:val="00097923"/>
    <w:rsid w:val="00097933"/>
    <w:rsid w:val="00097A36"/>
    <w:rsid w:val="00097B6A"/>
    <w:rsid w:val="00097DC1"/>
    <w:rsid w:val="00097E0E"/>
    <w:rsid w:val="00097E50"/>
    <w:rsid w:val="00097E7A"/>
    <w:rsid w:val="00097EE1"/>
    <w:rsid w:val="00097F05"/>
    <w:rsid w:val="00097FAF"/>
    <w:rsid w:val="000A0068"/>
    <w:rsid w:val="000A00C4"/>
    <w:rsid w:val="000A00DF"/>
    <w:rsid w:val="000A0299"/>
    <w:rsid w:val="000A0525"/>
    <w:rsid w:val="000A06F1"/>
    <w:rsid w:val="000A0C68"/>
    <w:rsid w:val="000A0E7A"/>
    <w:rsid w:val="000A0EC1"/>
    <w:rsid w:val="000A0EE4"/>
    <w:rsid w:val="000A0FC7"/>
    <w:rsid w:val="000A100E"/>
    <w:rsid w:val="000A1082"/>
    <w:rsid w:val="000A10AE"/>
    <w:rsid w:val="000A1193"/>
    <w:rsid w:val="000A1306"/>
    <w:rsid w:val="000A1329"/>
    <w:rsid w:val="000A13EF"/>
    <w:rsid w:val="000A1602"/>
    <w:rsid w:val="000A16CD"/>
    <w:rsid w:val="000A1A04"/>
    <w:rsid w:val="000A1A20"/>
    <w:rsid w:val="000A1A40"/>
    <w:rsid w:val="000A1A91"/>
    <w:rsid w:val="000A1B3F"/>
    <w:rsid w:val="000A1C9F"/>
    <w:rsid w:val="000A1E91"/>
    <w:rsid w:val="000A1EC9"/>
    <w:rsid w:val="000A1EDB"/>
    <w:rsid w:val="000A1FCE"/>
    <w:rsid w:val="000A201C"/>
    <w:rsid w:val="000A20E4"/>
    <w:rsid w:val="000A2129"/>
    <w:rsid w:val="000A2130"/>
    <w:rsid w:val="000A21CD"/>
    <w:rsid w:val="000A22A0"/>
    <w:rsid w:val="000A22C4"/>
    <w:rsid w:val="000A24C6"/>
    <w:rsid w:val="000A259C"/>
    <w:rsid w:val="000A2645"/>
    <w:rsid w:val="000A268A"/>
    <w:rsid w:val="000A278E"/>
    <w:rsid w:val="000A285E"/>
    <w:rsid w:val="000A28A5"/>
    <w:rsid w:val="000A298A"/>
    <w:rsid w:val="000A2A26"/>
    <w:rsid w:val="000A2AD5"/>
    <w:rsid w:val="000A2B7D"/>
    <w:rsid w:val="000A2BE8"/>
    <w:rsid w:val="000A2C11"/>
    <w:rsid w:val="000A2C34"/>
    <w:rsid w:val="000A2CB0"/>
    <w:rsid w:val="000A2D36"/>
    <w:rsid w:val="000A2DC2"/>
    <w:rsid w:val="000A2FCD"/>
    <w:rsid w:val="000A3020"/>
    <w:rsid w:val="000A32E6"/>
    <w:rsid w:val="000A3309"/>
    <w:rsid w:val="000A3329"/>
    <w:rsid w:val="000A34D6"/>
    <w:rsid w:val="000A3518"/>
    <w:rsid w:val="000A352C"/>
    <w:rsid w:val="000A3694"/>
    <w:rsid w:val="000A3712"/>
    <w:rsid w:val="000A3758"/>
    <w:rsid w:val="000A381E"/>
    <w:rsid w:val="000A396E"/>
    <w:rsid w:val="000A39E4"/>
    <w:rsid w:val="000A3A9B"/>
    <w:rsid w:val="000A3B01"/>
    <w:rsid w:val="000A3B1C"/>
    <w:rsid w:val="000A3B4E"/>
    <w:rsid w:val="000A3C54"/>
    <w:rsid w:val="000A3D7C"/>
    <w:rsid w:val="000A3E0F"/>
    <w:rsid w:val="000A3E38"/>
    <w:rsid w:val="000A3E64"/>
    <w:rsid w:val="000A3EB1"/>
    <w:rsid w:val="000A3F1C"/>
    <w:rsid w:val="000A3F31"/>
    <w:rsid w:val="000A4017"/>
    <w:rsid w:val="000A414A"/>
    <w:rsid w:val="000A41C2"/>
    <w:rsid w:val="000A42C9"/>
    <w:rsid w:val="000A43AE"/>
    <w:rsid w:val="000A4411"/>
    <w:rsid w:val="000A441B"/>
    <w:rsid w:val="000A4435"/>
    <w:rsid w:val="000A44D9"/>
    <w:rsid w:val="000A4616"/>
    <w:rsid w:val="000A4635"/>
    <w:rsid w:val="000A4728"/>
    <w:rsid w:val="000A4767"/>
    <w:rsid w:val="000A4850"/>
    <w:rsid w:val="000A4979"/>
    <w:rsid w:val="000A4B28"/>
    <w:rsid w:val="000A4C54"/>
    <w:rsid w:val="000A4C66"/>
    <w:rsid w:val="000A4CC1"/>
    <w:rsid w:val="000A4CE8"/>
    <w:rsid w:val="000A4D2E"/>
    <w:rsid w:val="000A4D5B"/>
    <w:rsid w:val="000A4D6D"/>
    <w:rsid w:val="000A4D82"/>
    <w:rsid w:val="000A4E5B"/>
    <w:rsid w:val="000A4E78"/>
    <w:rsid w:val="000A4F2E"/>
    <w:rsid w:val="000A51B5"/>
    <w:rsid w:val="000A5249"/>
    <w:rsid w:val="000A525C"/>
    <w:rsid w:val="000A52D8"/>
    <w:rsid w:val="000A5530"/>
    <w:rsid w:val="000A55AD"/>
    <w:rsid w:val="000A55F8"/>
    <w:rsid w:val="000A56DF"/>
    <w:rsid w:val="000A56F6"/>
    <w:rsid w:val="000A5702"/>
    <w:rsid w:val="000A570D"/>
    <w:rsid w:val="000A5722"/>
    <w:rsid w:val="000A5773"/>
    <w:rsid w:val="000A5776"/>
    <w:rsid w:val="000A57A5"/>
    <w:rsid w:val="000A585B"/>
    <w:rsid w:val="000A59AE"/>
    <w:rsid w:val="000A59C0"/>
    <w:rsid w:val="000A5A2D"/>
    <w:rsid w:val="000A5AA7"/>
    <w:rsid w:val="000A5B28"/>
    <w:rsid w:val="000A5BE9"/>
    <w:rsid w:val="000A5D61"/>
    <w:rsid w:val="000A60AF"/>
    <w:rsid w:val="000A60F1"/>
    <w:rsid w:val="000A61D8"/>
    <w:rsid w:val="000A6258"/>
    <w:rsid w:val="000A62EB"/>
    <w:rsid w:val="000A637E"/>
    <w:rsid w:val="000A6422"/>
    <w:rsid w:val="000A644F"/>
    <w:rsid w:val="000A6508"/>
    <w:rsid w:val="000A6582"/>
    <w:rsid w:val="000A66C0"/>
    <w:rsid w:val="000A6714"/>
    <w:rsid w:val="000A6792"/>
    <w:rsid w:val="000A67A2"/>
    <w:rsid w:val="000A68CD"/>
    <w:rsid w:val="000A6978"/>
    <w:rsid w:val="000A6A2C"/>
    <w:rsid w:val="000A6A84"/>
    <w:rsid w:val="000A6B09"/>
    <w:rsid w:val="000A6B0F"/>
    <w:rsid w:val="000A6B1B"/>
    <w:rsid w:val="000A6D88"/>
    <w:rsid w:val="000A6DA7"/>
    <w:rsid w:val="000A6E93"/>
    <w:rsid w:val="000A702F"/>
    <w:rsid w:val="000A704A"/>
    <w:rsid w:val="000A706C"/>
    <w:rsid w:val="000A72AA"/>
    <w:rsid w:val="000A72CA"/>
    <w:rsid w:val="000A759C"/>
    <w:rsid w:val="000A766D"/>
    <w:rsid w:val="000A76C0"/>
    <w:rsid w:val="000A7918"/>
    <w:rsid w:val="000A7946"/>
    <w:rsid w:val="000A7D9E"/>
    <w:rsid w:val="000A7D9F"/>
    <w:rsid w:val="000A7E2D"/>
    <w:rsid w:val="000A7E64"/>
    <w:rsid w:val="000A7EC9"/>
    <w:rsid w:val="000A7F6B"/>
    <w:rsid w:val="000B0322"/>
    <w:rsid w:val="000B07B7"/>
    <w:rsid w:val="000B0933"/>
    <w:rsid w:val="000B093F"/>
    <w:rsid w:val="000B0AAE"/>
    <w:rsid w:val="000B0B18"/>
    <w:rsid w:val="000B0D1B"/>
    <w:rsid w:val="000B0D27"/>
    <w:rsid w:val="000B10B5"/>
    <w:rsid w:val="000B1120"/>
    <w:rsid w:val="000B1270"/>
    <w:rsid w:val="000B12B7"/>
    <w:rsid w:val="000B13A5"/>
    <w:rsid w:val="000B147A"/>
    <w:rsid w:val="000B14C7"/>
    <w:rsid w:val="000B1640"/>
    <w:rsid w:val="000B1758"/>
    <w:rsid w:val="000B199E"/>
    <w:rsid w:val="000B1A2E"/>
    <w:rsid w:val="000B1A43"/>
    <w:rsid w:val="000B1AA5"/>
    <w:rsid w:val="000B1B96"/>
    <w:rsid w:val="000B1C54"/>
    <w:rsid w:val="000B1D52"/>
    <w:rsid w:val="000B1D84"/>
    <w:rsid w:val="000B1EDE"/>
    <w:rsid w:val="000B1EDF"/>
    <w:rsid w:val="000B1FA8"/>
    <w:rsid w:val="000B2048"/>
    <w:rsid w:val="000B20F9"/>
    <w:rsid w:val="000B210C"/>
    <w:rsid w:val="000B21B8"/>
    <w:rsid w:val="000B21BF"/>
    <w:rsid w:val="000B2215"/>
    <w:rsid w:val="000B2364"/>
    <w:rsid w:val="000B238E"/>
    <w:rsid w:val="000B23F6"/>
    <w:rsid w:val="000B2506"/>
    <w:rsid w:val="000B2658"/>
    <w:rsid w:val="000B283B"/>
    <w:rsid w:val="000B2897"/>
    <w:rsid w:val="000B28BE"/>
    <w:rsid w:val="000B2903"/>
    <w:rsid w:val="000B292F"/>
    <w:rsid w:val="000B296F"/>
    <w:rsid w:val="000B299D"/>
    <w:rsid w:val="000B2AC3"/>
    <w:rsid w:val="000B2BAE"/>
    <w:rsid w:val="000B2CD8"/>
    <w:rsid w:val="000B2CF2"/>
    <w:rsid w:val="000B2D91"/>
    <w:rsid w:val="000B2DBD"/>
    <w:rsid w:val="000B2EE7"/>
    <w:rsid w:val="000B2EEB"/>
    <w:rsid w:val="000B2FD5"/>
    <w:rsid w:val="000B2FDB"/>
    <w:rsid w:val="000B302A"/>
    <w:rsid w:val="000B3080"/>
    <w:rsid w:val="000B31D5"/>
    <w:rsid w:val="000B323A"/>
    <w:rsid w:val="000B33D2"/>
    <w:rsid w:val="000B365D"/>
    <w:rsid w:val="000B36E7"/>
    <w:rsid w:val="000B382F"/>
    <w:rsid w:val="000B39FB"/>
    <w:rsid w:val="000B3A79"/>
    <w:rsid w:val="000B3BA5"/>
    <w:rsid w:val="000B3BDC"/>
    <w:rsid w:val="000B3D49"/>
    <w:rsid w:val="000B3DFE"/>
    <w:rsid w:val="000B3EB0"/>
    <w:rsid w:val="000B3F24"/>
    <w:rsid w:val="000B3F6A"/>
    <w:rsid w:val="000B421B"/>
    <w:rsid w:val="000B42A9"/>
    <w:rsid w:val="000B4316"/>
    <w:rsid w:val="000B45A8"/>
    <w:rsid w:val="000B4690"/>
    <w:rsid w:val="000B472A"/>
    <w:rsid w:val="000B472F"/>
    <w:rsid w:val="000B4756"/>
    <w:rsid w:val="000B4798"/>
    <w:rsid w:val="000B48C5"/>
    <w:rsid w:val="000B4BFE"/>
    <w:rsid w:val="000B4D1B"/>
    <w:rsid w:val="000B4D38"/>
    <w:rsid w:val="000B4D8A"/>
    <w:rsid w:val="000B4D9E"/>
    <w:rsid w:val="000B4E94"/>
    <w:rsid w:val="000B50AA"/>
    <w:rsid w:val="000B513E"/>
    <w:rsid w:val="000B513F"/>
    <w:rsid w:val="000B5345"/>
    <w:rsid w:val="000B5382"/>
    <w:rsid w:val="000B559B"/>
    <w:rsid w:val="000B55E9"/>
    <w:rsid w:val="000B5606"/>
    <w:rsid w:val="000B56A4"/>
    <w:rsid w:val="000B584A"/>
    <w:rsid w:val="000B58BE"/>
    <w:rsid w:val="000B59BC"/>
    <w:rsid w:val="000B5A27"/>
    <w:rsid w:val="000B5A41"/>
    <w:rsid w:val="000B5B69"/>
    <w:rsid w:val="000B5CAD"/>
    <w:rsid w:val="000B5DBE"/>
    <w:rsid w:val="000B5F50"/>
    <w:rsid w:val="000B5FD1"/>
    <w:rsid w:val="000B61C5"/>
    <w:rsid w:val="000B62AF"/>
    <w:rsid w:val="000B62BF"/>
    <w:rsid w:val="000B6378"/>
    <w:rsid w:val="000B6457"/>
    <w:rsid w:val="000B64E6"/>
    <w:rsid w:val="000B64EA"/>
    <w:rsid w:val="000B650A"/>
    <w:rsid w:val="000B650D"/>
    <w:rsid w:val="000B65FF"/>
    <w:rsid w:val="000B6656"/>
    <w:rsid w:val="000B66AD"/>
    <w:rsid w:val="000B69B3"/>
    <w:rsid w:val="000B6B30"/>
    <w:rsid w:val="000B6B50"/>
    <w:rsid w:val="000B6C14"/>
    <w:rsid w:val="000B6C45"/>
    <w:rsid w:val="000B6CB0"/>
    <w:rsid w:val="000B6CDD"/>
    <w:rsid w:val="000B7066"/>
    <w:rsid w:val="000B7161"/>
    <w:rsid w:val="000B73FD"/>
    <w:rsid w:val="000B74AB"/>
    <w:rsid w:val="000B74CD"/>
    <w:rsid w:val="000B74EA"/>
    <w:rsid w:val="000B758C"/>
    <w:rsid w:val="000B761D"/>
    <w:rsid w:val="000B7680"/>
    <w:rsid w:val="000B768B"/>
    <w:rsid w:val="000B77ED"/>
    <w:rsid w:val="000B7825"/>
    <w:rsid w:val="000B7A44"/>
    <w:rsid w:val="000B7AE1"/>
    <w:rsid w:val="000B7BB2"/>
    <w:rsid w:val="000B7D20"/>
    <w:rsid w:val="000B7D26"/>
    <w:rsid w:val="000B7DD9"/>
    <w:rsid w:val="000C0128"/>
    <w:rsid w:val="000C0196"/>
    <w:rsid w:val="000C01AA"/>
    <w:rsid w:val="000C0269"/>
    <w:rsid w:val="000C03B5"/>
    <w:rsid w:val="000C0418"/>
    <w:rsid w:val="000C0447"/>
    <w:rsid w:val="000C053A"/>
    <w:rsid w:val="000C0640"/>
    <w:rsid w:val="000C080E"/>
    <w:rsid w:val="000C08A7"/>
    <w:rsid w:val="000C0B74"/>
    <w:rsid w:val="000C0BEF"/>
    <w:rsid w:val="000C0C1A"/>
    <w:rsid w:val="000C0C77"/>
    <w:rsid w:val="000C0C94"/>
    <w:rsid w:val="000C0D76"/>
    <w:rsid w:val="000C0DE4"/>
    <w:rsid w:val="000C0E69"/>
    <w:rsid w:val="000C0FBE"/>
    <w:rsid w:val="000C1067"/>
    <w:rsid w:val="000C10DE"/>
    <w:rsid w:val="000C1103"/>
    <w:rsid w:val="000C1423"/>
    <w:rsid w:val="000C14C3"/>
    <w:rsid w:val="000C1519"/>
    <w:rsid w:val="000C15FC"/>
    <w:rsid w:val="000C17D5"/>
    <w:rsid w:val="000C1954"/>
    <w:rsid w:val="000C19B1"/>
    <w:rsid w:val="000C19E3"/>
    <w:rsid w:val="000C1A51"/>
    <w:rsid w:val="000C1C9C"/>
    <w:rsid w:val="000C1CA2"/>
    <w:rsid w:val="000C1EA0"/>
    <w:rsid w:val="000C1F9E"/>
    <w:rsid w:val="000C2027"/>
    <w:rsid w:val="000C203C"/>
    <w:rsid w:val="000C2040"/>
    <w:rsid w:val="000C218F"/>
    <w:rsid w:val="000C21FA"/>
    <w:rsid w:val="000C22BF"/>
    <w:rsid w:val="000C23EA"/>
    <w:rsid w:val="000C25F1"/>
    <w:rsid w:val="000C25F2"/>
    <w:rsid w:val="000C2600"/>
    <w:rsid w:val="000C26D0"/>
    <w:rsid w:val="000C2914"/>
    <w:rsid w:val="000C2A61"/>
    <w:rsid w:val="000C2A99"/>
    <w:rsid w:val="000C2CAB"/>
    <w:rsid w:val="000C2D02"/>
    <w:rsid w:val="000C2D85"/>
    <w:rsid w:val="000C2DFD"/>
    <w:rsid w:val="000C30C9"/>
    <w:rsid w:val="000C31BA"/>
    <w:rsid w:val="000C3326"/>
    <w:rsid w:val="000C3351"/>
    <w:rsid w:val="000C3365"/>
    <w:rsid w:val="000C37B3"/>
    <w:rsid w:val="000C3905"/>
    <w:rsid w:val="000C3923"/>
    <w:rsid w:val="000C3B06"/>
    <w:rsid w:val="000C3BD9"/>
    <w:rsid w:val="000C3BF5"/>
    <w:rsid w:val="000C3C68"/>
    <w:rsid w:val="000C3DD2"/>
    <w:rsid w:val="000C3DF8"/>
    <w:rsid w:val="000C3E0A"/>
    <w:rsid w:val="000C4278"/>
    <w:rsid w:val="000C4292"/>
    <w:rsid w:val="000C4296"/>
    <w:rsid w:val="000C453E"/>
    <w:rsid w:val="000C4661"/>
    <w:rsid w:val="000C47FE"/>
    <w:rsid w:val="000C4A56"/>
    <w:rsid w:val="000C4AE2"/>
    <w:rsid w:val="000C4B86"/>
    <w:rsid w:val="000C4C57"/>
    <w:rsid w:val="000C5155"/>
    <w:rsid w:val="000C5281"/>
    <w:rsid w:val="000C548B"/>
    <w:rsid w:val="000C54C2"/>
    <w:rsid w:val="000C55F8"/>
    <w:rsid w:val="000C569A"/>
    <w:rsid w:val="000C56C8"/>
    <w:rsid w:val="000C56DA"/>
    <w:rsid w:val="000C56E2"/>
    <w:rsid w:val="000C571A"/>
    <w:rsid w:val="000C571D"/>
    <w:rsid w:val="000C573C"/>
    <w:rsid w:val="000C580D"/>
    <w:rsid w:val="000C58D2"/>
    <w:rsid w:val="000C592A"/>
    <w:rsid w:val="000C5B5C"/>
    <w:rsid w:val="000C5B9D"/>
    <w:rsid w:val="000C5C80"/>
    <w:rsid w:val="000C5C85"/>
    <w:rsid w:val="000C5CAD"/>
    <w:rsid w:val="000C5F40"/>
    <w:rsid w:val="000C6096"/>
    <w:rsid w:val="000C60BF"/>
    <w:rsid w:val="000C610F"/>
    <w:rsid w:val="000C6193"/>
    <w:rsid w:val="000C61FB"/>
    <w:rsid w:val="000C6289"/>
    <w:rsid w:val="000C6399"/>
    <w:rsid w:val="000C6547"/>
    <w:rsid w:val="000C6716"/>
    <w:rsid w:val="000C6776"/>
    <w:rsid w:val="000C68C8"/>
    <w:rsid w:val="000C6B5B"/>
    <w:rsid w:val="000C6C03"/>
    <w:rsid w:val="000C6F70"/>
    <w:rsid w:val="000C6F82"/>
    <w:rsid w:val="000C6F8F"/>
    <w:rsid w:val="000C701A"/>
    <w:rsid w:val="000C7062"/>
    <w:rsid w:val="000C7091"/>
    <w:rsid w:val="000C714E"/>
    <w:rsid w:val="000C71CE"/>
    <w:rsid w:val="000C72B6"/>
    <w:rsid w:val="000C736A"/>
    <w:rsid w:val="000C7468"/>
    <w:rsid w:val="000C75DC"/>
    <w:rsid w:val="000C7A84"/>
    <w:rsid w:val="000C7BB1"/>
    <w:rsid w:val="000C7CE7"/>
    <w:rsid w:val="000C7D9C"/>
    <w:rsid w:val="000D0192"/>
    <w:rsid w:val="000D01ED"/>
    <w:rsid w:val="000D067A"/>
    <w:rsid w:val="000D09E2"/>
    <w:rsid w:val="000D0A48"/>
    <w:rsid w:val="000D0CDD"/>
    <w:rsid w:val="000D0CE7"/>
    <w:rsid w:val="000D0E34"/>
    <w:rsid w:val="000D0E3C"/>
    <w:rsid w:val="000D0E9A"/>
    <w:rsid w:val="000D1000"/>
    <w:rsid w:val="000D10F7"/>
    <w:rsid w:val="000D1120"/>
    <w:rsid w:val="000D12C9"/>
    <w:rsid w:val="000D136E"/>
    <w:rsid w:val="000D1562"/>
    <w:rsid w:val="000D1671"/>
    <w:rsid w:val="000D16BD"/>
    <w:rsid w:val="000D171B"/>
    <w:rsid w:val="000D1890"/>
    <w:rsid w:val="000D1B3F"/>
    <w:rsid w:val="000D1BB4"/>
    <w:rsid w:val="000D1C10"/>
    <w:rsid w:val="000D1D57"/>
    <w:rsid w:val="000D1DB6"/>
    <w:rsid w:val="000D1E0A"/>
    <w:rsid w:val="000D1E16"/>
    <w:rsid w:val="000D1E18"/>
    <w:rsid w:val="000D1E74"/>
    <w:rsid w:val="000D1EAF"/>
    <w:rsid w:val="000D1F0E"/>
    <w:rsid w:val="000D20BA"/>
    <w:rsid w:val="000D2198"/>
    <w:rsid w:val="000D219A"/>
    <w:rsid w:val="000D229B"/>
    <w:rsid w:val="000D2664"/>
    <w:rsid w:val="000D268F"/>
    <w:rsid w:val="000D270F"/>
    <w:rsid w:val="000D2ACC"/>
    <w:rsid w:val="000D2B3D"/>
    <w:rsid w:val="000D2D18"/>
    <w:rsid w:val="000D2D20"/>
    <w:rsid w:val="000D2ECC"/>
    <w:rsid w:val="000D2F99"/>
    <w:rsid w:val="000D2FCA"/>
    <w:rsid w:val="000D2FE0"/>
    <w:rsid w:val="000D313A"/>
    <w:rsid w:val="000D326E"/>
    <w:rsid w:val="000D328C"/>
    <w:rsid w:val="000D33DA"/>
    <w:rsid w:val="000D343B"/>
    <w:rsid w:val="000D34FC"/>
    <w:rsid w:val="000D359E"/>
    <w:rsid w:val="000D3624"/>
    <w:rsid w:val="000D369F"/>
    <w:rsid w:val="000D3748"/>
    <w:rsid w:val="000D381F"/>
    <w:rsid w:val="000D389B"/>
    <w:rsid w:val="000D39EA"/>
    <w:rsid w:val="000D3A32"/>
    <w:rsid w:val="000D3A85"/>
    <w:rsid w:val="000D3B17"/>
    <w:rsid w:val="000D4099"/>
    <w:rsid w:val="000D40B6"/>
    <w:rsid w:val="000D41AE"/>
    <w:rsid w:val="000D436B"/>
    <w:rsid w:val="000D43AA"/>
    <w:rsid w:val="000D43B6"/>
    <w:rsid w:val="000D43C3"/>
    <w:rsid w:val="000D442D"/>
    <w:rsid w:val="000D4464"/>
    <w:rsid w:val="000D452D"/>
    <w:rsid w:val="000D45BF"/>
    <w:rsid w:val="000D463E"/>
    <w:rsid w:val="000D47DB"/>
    <w:rsid w:val="000D47F7"/>
    <w:rsid w:val="000D47FA"/>
    <w:rsid w:val="000D4A48"/>
    <w:rsid w:val="000D4B10"/>
    <w:rsid w:val="000D4EB4"/>
    <w:rsid w:val="000D4F63"/>
    <w:rsid w:val="000D5148"/>
    <w:rsid w:val="000D5267"/>
    <w:rsid w:val="000D54F3"/>
    <w:rsid w:val="000D573D"/>
    <w:rsid w:val="000D59A6"/>
    <w:rsid w:val="000D59E6"/>
    <w:rsid w:val="000D5A19"/>
    <w:rsid w:val="000D5AB6"/>
    <w:rsid w:val="000D5D47"/>
    <w:rsid w:val="000D5FA3"/>
    <w:rsid w:val="000D605C"/>
    <w:rsid w:val="000D61B1"/>
    <w:rsid w:val="000D6207"/>
    <w:rsid w:val="000D644F"/>
    <w:rsid w:val="000D672D"/>
    <w:rsid w:val="000D6735"/>
    <w:rsid w:val="000D6768"/>
    <w:rsid w:val="000D67F4"/>
    <w:rsid w:val="000D6CA9"/>
    <w:rsid w:val="000D6CCD"/>
    <w:rsid w:val="000D6D8A"/>
    <w:rsid w:val="000D6EAE"/>
    <w:rsid w:val="000D6F15"/>
    <w:rsid w:val="000D6F92"/>
    <w:rsid w:val="000D72E4"/>
    <w:rsid w:val="000D7351"/>
    <w:rsid w:val="000D758D"/>
    <w:rsid w:val="000D7652"/>
    <w:rsid w:val="000D76C9"/>
    <w:rsid w:val="000D7743"/>
    <w:rsid w:val="000D7818"/>
    <w:rsid w:val="000D7A1F"/>
    <w:rsid w:val="000D7AF2"/>
    <w:rsid w:val="000D7B35"/>
    <w:rsid w:val="000D7DD2"/>
    <w:rsid w:val="000D7E10"/>
    <w:rsid w:val="000D7E93"/>
    <w:rsid w:val="000D7F61"/>
    <w:rsid w:val="000D7FB6"/>
    <w:rsid w:val="000E00EE"/>
    <w:rsid w:val="000E0421"/>
    <w:rsid w:val="000E04A3"/>
    <w:rsid w:val="000E0512"/>
    <w:rsid w:val="000E052D"/>
    <w:rsid w:val="000E05DC"/>
    <w:rsid w:val="000E0601"/>
    <w:rsid w:val="000E0616"/>
    <w:rsid w:val="000E0640"/>
    <w:rsid w:val="000E0644"/>
    <w:rsid w:val="000E0747"/>
    <w:rsid w:val="000E0795"/>
    <w:rsid w:val="000E0868"/>
    <w:rsid w:val="000E08EB"/>
    <w:rsid w:val="000E0943"/>
    <w:rsid w:val="000E0A1E"/>
    <w:rsid w:val="000E0A6F"/>
    <w:rsid w:val="000E0AA5"/>
    <w:rsid w:val="000E0B74"/>
    <w:rsid w:val="000E0BAB"/>
    <w:rsid w:val="000E0C57"/>
    <w:rsid w:val="000E0E76"/>
    <w:rsid w:val="000E1038"/>
    <w:rsid w:val="000E11C1"/>
    <w:rsid w:val="000E1313"/>
    <w:rsid w:val="000E13F0"/>
    <w:rsid w:val="000E14A4"/>
    <w:rsid w:val="000E14F6"/>
    <w:rsid w:val="000E1530"/>
    <w:rsid w:val="000E1560"/>
    <w:rsid w:val="000E167A"/>
    <w:rsid w:val="000E168A"/>
    <w:rsid w:val="000E1732"/>
    <w:rsid w:val="000E174E"/>
    <w:rsid w:val="000E1973"/>
    <w:rsid w:val="000E19E4"/>
    <w:rsid w:val="000E1A4E"/>
    <w:rsid w:val="000E1C34"/>
    <w:rsid w:val="000E1C92"/>
    <w:rsid w:val="000E1D60"/>
    <w:rsid w:val="000E1EEF"/>
    <w:rsid w:val="000E1EF4"/>
    <w:rsid w:val="000E1FEF"/>
    <w:rsid w:val="000E208F"/>
    <w:rsid w:val="000E2110"/>
    <w:rsid w:val="000E212E"/>
    <w:rsid w:val="000E21D9"/>
    <w:rsid w:val="000E227E"/>
    <w:rsid w:val="000E22A7"/>
    <w:rsid w:val="000E232B"/>
    <w:rsid w:val="000E24E1"/>
    <w:rsid w:val="000E250A"/>
    <w:rsid w:val="000E257E"/>
    <w:rsid w:val="000E25B1"/>
    <w:rsid w:val="000E2756"/>
    <w:rsid w:val="000E27AC"/>
    <w:rsid w:val="000E285B"/>
    <w:rsid w:val="000E2B4E"/>
    <w:rsid w:val="000E2C30"/>
    <w:rsid w:val="000E2D1B"/>
    <w:rsid w:val="000E2D93"/>
    <w:rsid w:val="000E2E50"/>
    <w:rsid w:val="000E2EFC"/>
    <w:rsid w:val="000E2F0E"/>
    <w:rsid w:val="000E31C3"/>
    <w:rsid w:val="000E322A"/>
    <w:rsid w:val="000E3263"/>
    <w:rsid w:val="000E33B5"/>
    <w:rsid w:val="000E3409"/>
    <w:rsid w:val="000E34DC"/>
    <w:rsid w:val="000E364B"/>
    <w:rsid w:val="000E36A6"/>
    <w:rsid w:val="000E36AD"/>
    <w:rsid w:val="000E3966"/>
    <w:rsid w:val="000E398E"/>
    <w:rsid w:val="000E3A8B"/>
    <w:rsid w:val="000E3D35"/>
    <w:rsid w:val="000E3D9E"/>
    <w:rsid w:val="000E3E66"/>
    <w:rsid w:val="000E3EE2"/>
    <w:rsid w:val="000E41E7"/>
    <w:rsid w:val="000E4291"/>
    <w:rsid w:val="000E42C0"/>
    <w:rsid w:val="000E44B8"/>
    <w:rsid w:val="000E4581"/>
    <w:rsid w:val="000E45F6"/>
    <w:rsid w:val="000E4602"/>
    <w:rsid w:val="000E4629"/>
    <w:rsid w:val="000E4669"/>
    <w:rsid w:val="000E4885"/>
    <w:rsid w:val="000E4955"/>
    <w:rsid w:val="000E4AC0"/>
    <w:rsid w:val="000E4B7A"/>
    <w:rsid w:val="000E4BBB"/>
    <w:rsid w:val="000E4C9A"/>
    <w:rsid w:val="000E4D49"/>
    <w:rsid w:val="000E4DCB"/>
    <w:rsid w:val="000E4E2D"/>
    <w:rsid w:val="000E4EF5"/>
    <w:rsid w:val="000E4FFA"/>
    <w:rsid w:val="000E50AB"/>
    <w:rsid w:val="000E5166"/>
    <w:rsid w:val="000E52ED"/>
    <w:rsid w:val="000E5559"/>
    <w:rsid w:val="000E5563"/>
    <w:rsid w:val="000E55FF"/>
    <w:rsid w:val="000E5895"/>
    <w:rsid w:val="000E58DE"/>
    <w:rsid w:val="000E59A3"/>
    <w:rsid w:val="000E5A08"/>
    <w:rsid w:val="000E5B31"/>
    <w:rsid w:val="000E5BA1"/>
    <w:rsid w:val="000E5BCC"/>
    <w:rsid w:val="000E5C90"/>
    <w:rsid w:val="000E5D22"/>
    <w:rsid w:val="000E5F70"/>
    <w:rsid w:val="000E5FDE"/>
    <w:rsid w:val="000E6025"/>
    <w:rsid w:val="000E605B"/>
    <w:rsid w:val="000E60CB"/>
    <w:rsid w:val="000E61CE"/>
    <w:rsid w:val="000E622C"/>
    <w:rsid w:val="000E63BE"/>
    <w:rsid w:val="000E6405"/>
    <w:rsid w:val="000E66DE"/>
    <w:rsid w:val="000E678E"/>
    <w:rsid w:val="000E6840"/>
    <w:rsid w:val="000E6914"/>
    <w:rsid w:val="000E6955"/>
    <w:rsid w:val="000E6A55"/>
    <w:rsid w:val="000E6AD6"/>
    <w:rsid w:val="000E6B63"/>
    <w:rsid w:val="000E6D42"/>
    <w:rsid w:val="000E6E18"/>
    <w:rsid w:val="000E6E1D"/>
    <w:rsid w:val="000E6E22"/>
    <w:rsid w:val="000E6E9B"/>
    <w:rsid w:val="000E6F67"/>
    <w:rsid w:val="000E6FD4"/>
    <w:rsid w:val="000E70B4"/>
    <w:rsid w:val="000E71A3"/>
    <w:rsid w:val="000E73B2"/>
    <w:rsid w:val="000E754D"/>
    <w:rsid w:val="000E779A"/>
    <w:rsid w:val="000E7837"/>
    <w:rsid w:val="000E7901"/>
    <w:rsid w:val="000E79CD"/>
    <w:rsid w:val="000E7A3A"/>
    <w:rsid w:val="000E7A9D"/>
    <w:rsid w:val="000E7B07"/>
    <w:rsid w:val="000E7DF4"/>
    <w:rsid w:val="000E7ED1"/>
    <w:rsid w:val="000F01A6"/>
    <w:rsid w:val="000F023E"/>
    <w:rsid w:val="000F0303"/>
    <w:rsid w:val="000F0359"/>
    <w:rsid w:val="000F0395"/>
    <w:rsid w:val="000F0415"/>
    <w:rsid w:val="000F0540"/>
    <w:rsid w:val="000F05CC"/>
    <w:rsid w:val="000F05D2"/>
    <w:rsid w:val="000F0632"/>
    <w:rsid w:val="000F06AB"/>
    <w:rsid w:val="000F06C6"/>
    <w:rsid w:val="000F06DE"/>
    <w:rsid w:val="000F076D"/>
    <w:rsid w:val="000F07DE"/>
    <w:rsid w:val="000F07E2"/>
    <w:rsid w:val="000F08FE"/>
    <w:rsid w:val="000F0C77"/>
    <w:rsid w:val="000F0D03"/>
    <w:rsid w:val="000F0DF0"/>
    <w:rsid w:val="000F0E33"/>
    <w:rsid w:val="000F0EA5"/>
    <w:rsid w:val="000F0EB7"/>
    <w:rsid w:val="000F0EBA"/>
    <w:rsid w:val="000F0FFE"/>
    <w:rsid w:val="000F1016"/>
    <w:rsid w:val="000F10CF"/>
    <w:rsid w:val="000F1113"/>
    <w:rsid w:val="000F12D4"/>
    <w:rsid w:val="000F131D"/>
    <w:rsid w:val="000F147F"/>
    <w:rsid w:val="000F1503"/>
    <w:rsid w:val="000F150A"/>
    <w:rsid w:val="000F156B"/>
    <w:rsid w:val="000F1662"/>
    <w:rsid w:val="000F176A"/>
    <w:rsid w:val="000F1AAF"/>
    <w:rsid w:val="000F1AC7"/>
    <w:rsid w:val="000F1AF1"/>
    <w:rsid w:val="000F1B64"/>
    <w:rsid w:val="000F1B6D"/>
    <w:rsid w:val="000F1B75"/>
    <w:rsid w:val="000F1DFA"/>
    <w:rsid w:val="000F1E06"/>
    <w:rsid w:val="000F1E3F"/>
    <w:rsid w:val="000F1F09"/>
    <w:rsid w:val="000F1F52"/>
    <w:rsid w:val="000F2264"/>
    <w:rsid w:val="000F22A1"/>
    <w:rsid w:val="000F243B"/>
    <w:rsid w:val="000F252F"/>
    <w:rsid w:val="000F2534"/>
    <w:rsid w:val="000F257A"/>
    <w:rsid w:val="000F2708"/>
    <w:rsid w:val="000F29E1"/>
    <w:rsid w:val="000F2A5C"/>
    <w:rsid w:val="000F2CF1"/>
    <w:rsid w:val="000F2D56"/>
    <w:rsid w:val="000F2EE0"/>
    <w:rsid w:val="000F2F2A"/>
    <w:rsid w:val="000F310D"/>
    <w:rsid w:val="000F31C0"/>
    <w:rsid w:val="000F3216"/>
    <w:rsid w:val="000F326A"/>
    <w:rsid w:val="000F32B3"/>
    <w:rsid w:val="000F32C7"/>
    <w:rsid w:val="000F33D4"/>
    <w:rsid w:val="000F33ED"/>
    <w:rsid w:val="000F3436"/>
    <w:rsid w:val="000F34A7"/>
    <w:rsid w:val="000F34E3"/>
    <w:rsid w:val="000F3500"/>
    <w:rsid w:val="000F3572"/>
    <w:rsid w:val="000F362E"/>
    <w:rsid w:val="000F3653"/>
    <w:rsid w:val="000F3725"/>
    <w:rsid w:val="000F379D"/>
    <w:rsid w:val="000F37B0"/>
    <w:rsid w:val="000F380E"/>
    <w:rsid w:val="000F3AB4"/>
    <w:rsid w:val="000F3D6E"/>
    <w:rsid w:val="000F3F88"/>
    <w:rsid w:val="000F403D"/>
    <w:rsid w:val="000F43AB"/>
    <w:rsid w:val="000F45F7"/>
    <w:rsid w:val="000F4926"/>
    <w:rsid w:val="000F4A1D"/>
    <w:rsid w:val="000F4B26"/>
    <w:rsid w:val="000F4C6A"/>
    <w:rsid w:val="000F4C75"/>
    <w:rsid w:val="000F4CC5"/>
    <w:rsid w:val="000F4D60"/>
    <w:rsid w:val="000F4DFE"/>
    <w:rsid w:val="000F4F9A"/>
    <w:rsid w:val="000F4FC2"/>
    <w:rsid w:val="000F4FF3"/>
    <w:rsid w:val="000F5219"/>
    <w:rsid w:val="000F539C"/>
    <w:rsid w:val="000F53D6"/>
    <w:rsid w:val="000F54B8"/>
    <w:rsid w:val="000F5566"/>
    <w:rsid w:val="000F5791"/>
    <w:rsid w:val="000F5AC3"/>
    <w:rsid w:val="000F5D23"/>
    <w:rsid w:val="000F5D95"/>
    <w:rsid w:val="000F5E13"/>
    <w:rsid w:val="000F5EB5"/>
    <w:rsid w:val="000F5F25"/>
    <w:rsid w:val="000F5FD8"/>
    <w:rsid w:val="000F6165"/>
    <w:rsid w:val="000F6233"/>
    <w:rsid w:val="000F6393"/>
    <w:rsid w:val="000F65AB"/>
    <w:rsid w:val="000F6600"/>
    <w:rsid w:val="000F66BE"/>
    <w:rsid w:val="000F677E"/>
    <w:rsid w:val="000F6868"/>
    <w:rsid w:val="000F6920"/>
    <w:rsid w:val="000F6A65"/>
    <w:rsid w:val="000F6ACD"/>
    <w:rsid w:val="000F6C7C"/>
    <w:rsid w:val="000F6F1E"/>
    <w:rsid w:val="000F6FF3"/>
    <w:rsid w:val="000F7224"/>
    <w:rsid w:val="000F7236"/>
    <w:rsid w:val="000F753A"/>
    <w:rsid w:val="000F76D6"/>
    <w:rsid w:val="000F78ED"/>
    <w:rsid w:val="000F79B8"/>
    <w:rsid w:val="000F7A30"/>
    <w:rsid w:val="000F7B72"/>
    <w:rsid w:val="000F7BA1"/>
    <w:rsid w:val="000F7C97"/>
    <w:rsid w:val="000F7E69"/>
    <w:rsid w:val="001001B9"/>
    <w:rsid w:val="001001BE"/>
    <w:rsid w:val="001001C0"/>
    <w:rsid w:val="0010028E"/>
    <w:rsid w:val="001002C4"/>
    <w:rsid w:val="0010059F"/>
    <w:rsid w:val="00100632"/>
    <w:rsid w:val="001006C3"/>
    <w:rsid w:val="00100744"/>
    <w:rsid w:val="001008C7"/>
    <w:rsid w:val="00100A2C"/>
    <w:rsid w:val="00100AB2"/>
    <w:rsid w:val="00100E88"/>
    <w:rsid w:val="00100EB8"/>
    <w:rsid w:val="00101150"/>
    <w:rsid w:val="0010121D"/>
    <w:rsid w:val="0010146A"/>
    <w:rsid w:val="00101786"/>
    <w:rsid w:val="0010198F"/>
    <w:rsid w:val="001019E4"/>
    <w:rsid w:val="00101A29"/>
    <w:rsid w:val="00101A63"/>
    <w:rsid w:val="00101A96"/>
    <w:rsid w:val="00101CCB"/>
    <w:rsid w:val="00101CF1"/>
    <w:rsid w:val="00101D19"/>
    <w:rsid w:val="00101D48"/>
    <w:rsid w:val="00101EF8"/>
    <w:rsid w:val="00102048"/>
    <w:rsid w:val="00102141"/>
    <w:rsid w:val="0010219B"/>
    <w:rsid w:val="001024BA"/>
    <w:rsid w:val="001024FD"/>
    <w:rsid w:val="00102561"/>
    <w:rsid w:val="00102580"/>
    <w:rsid w:val="00102613"/>
    <w:rsid w:val="001026D6"/>
    <w:rsid w:val="001027F3"/>
    <w:rsid w:val="00102A7D"/>
    <w:rsid w:val="00102AE0"/>
    <w:rsid w:val="00102B4F"/>
    <w:rsid w:val="00102DDE"/>
    <w:rsid w:val="00102F5C"/>
    <w:rsid w:val="00102F6B"/>
    <w:rsid w:val="00103102"/>
    <w:rsid w:val="0010315A"/>
    <w:rsid w:val="00103232"/>
    <w:rsid w:val="00103270"/>
    <w:rsid w:val="001033AD"/>
    <w:rsid w:val="00103445"/>
    <w:rsid w:val="00103519"/>
    <w:rsid w:val="001035A5"/>
    <w:rsid w:val="00103620"/>
    <w:rsid w:val="001036C6"/>
    <w:rsid w:val="001036DA"/>
    <w:rsid w:val="00103986"/>
    <w:rsid w:val="0010399F"/>
    <w:rsid w:val="001039A5"/>
    <w:rsid w:val="00103A68"/>
    <w:rsid w:val="00103A90"/>
    <w:rsid w:val="00103ACB"/>
    <w:rsid w:val="00103CBB"/>
    <w:rsid w:val="00103E74"/>
    <w:rsid w:val="00103EEF"/>
    <w:rsid w:val="00103F3C"/>
    <w:rsid w:val="00103FC4"/>
    <w:rsid w:val="0010401D"/>
    <w:rsid w:val="001040D7"/>
    <w:rsid w:val="00104142"/>
    <w:rsid w:val="00104279"/>
    <w:rsid w:val="00104351"/>
    <w:rsid w:val="001043D8"/>
    <w:rsid w:val="001045BC"/>
    <w:rsid w:val="001046CC"/>
    <w:rsid w:val="00104834"/>
    <w:rsid w:val="00104899"/>
    <w:rsid w:val="001049C7"/>
    <w:rsid w:val="001049E7"/>
    <w:rsid w:val="00104AE6"/>
    <w:rsid w:val="00104DE0"/>
    <w:rsid w:val="00104E13"/>
    <w:rsid w:val="00104F5C"/>
    <w:rsid w:val="00105024"/>
    <w:rsid w:val="00105059"/>
    <w:rsid w:val="001050EB"/>
    <w:rsid w:val="00105279"/>
    <w:rsid w:val="00105281"/>
    <w:rsid w:val="00105304"/>
    <w:rsid w:val="00105416"/>
    <w:rsid w:val="0010547E"/>
    <w:rsid w:val="00105680"/>
    <w:rsid w:val="00105702"/>
    <w:rsid w:val="001057BF"/>
    <w:rsid w:val="001058D8"/>
    <w:rsid w:val="00105957"/>
    <w:rsid w:val="00105C20"/>
    <w:rsid w:val="00105C39"/>
    <w:rsid w:val="00105C6E"/>
    <w:rsid w:val="00105FAE"/>
    <w:rsid w:val="00106016"/>
    <w:rsid w:val="0010616B"/>
    <w:rsid w:val="00106244"/>
    <w:rsid w:val="001066CD"/>
    <w:rsid w:val="0010681D"/>
    <w:rsid w:val="00106859"/>
    <w:rsid w:val="001068FE"/>
    <w:rsid w:val="00106936"/>
    <w:rsid w:val="001069BE"/>
    <w:rsid w:val="00106B1E"/>
    <w:rsid w:val="00106B4A"/>
    <w:rsid w:val="00106BAC"/>
    <w:rsid w:val="00106D9D"/>
    <w:rsid w:val="00106DED"/>
    <w:rsid w:val="00106ED2"/>
    <w:rsid w:val="00106F0D"/>
    <w:rsid w:val="00106FC7"/>
    <w:rsid w:val="001070C5"/>
    <w:rsid w:val="0010717C"/>
    <w:rsid w:val="001071D7"/>
    <w:rsid w:val="00107297"/>
    <w:rsid w:val="00107331"/>
    <w:rsid w:val="00107380"/>
    <w:rsid w:val="00107554"/>
    <w:rsid w:val="001075F9"/>
    <w:rsid w:val="00107684"/>
    <w:rsid w:val="00107685"/>
    <w:rsid w:val="001076DF"/>
    <w:rsid w:val="001076F2"/>
    <w:rsid w:val="00107794"/>
    <w:rsid w:val="00107971"/>
    <w:rsid w:val="0010797B"/>
    <w:rsid w:val="00107B72"/>
    <w:rsid w:val="00107E5A"/>
    <w:rsid w:val="00107F1C"/>
    <w:rsid w:val="00110115"/>
    <w:rsid w:val="001101E6"/>
    <w:rsid w:val="001101EF"/>
    <w:rsid w:val="00110222"/>
    <w:rsid w:val="001104D9"/>
    <w:rsid w:val="001104F2"/>
    <w:rsid w:val="001104F6"/>
    <w:rsid w:val="00110549"/>
    <w:rsid w:val="00110748"/>
    <w:rsid w:val="00110793"/>
    <w:rsid w:val="00110818"/>
    <w:rsid w:val="001108B4"/>
    <w:rsid w:val="001108E5"/>
    <w:rsid w:val="00110A1A"/>
    <w:rsid w:val="00110ACA"/>
    <w:rsid w:val="00110AD5"/>
    <w:rsid w:val="00110B48"/>
    <w:rsid w:val="00110C74"/>
    <w:rsid w:val="00110DBF"/>
    <w:rsid w:val="00110EB4"/>
    <w:rsid w:val="00110F8F"/>
    <w:rsid w:val="00110FCC"/>
    <w:rsid w:val="001110C2"/>
    <w:rsid w:val="001110F6"/>
    <w:rsid w:val="00111137"/>
    <w:rsid w:val="00111182"/>
    <w:rsid w:val="0011137D"/>
    <w:rsid w:val="001116AB"/>
    <w:rsid w:val="001117D4"/>
    <w:rsid w:val="001118CB"/>
    <w:rsid w:val="00111938"/>
    <w:rsid w:val="0011198C"/>
    <w:rsid w:val="00111A28"/>
    <w:rsid w:val="00111A87"/>
    <w:rsid w:val="00111AA6"/>
    <w:rsid w:val="00111AAD"/>
    <w:rsid w:val="00111B11"/>
    <w:rsid w:val="00111BB3"/>
    <w:rsid w:val="00111C22"/>
    <w:rsid w:val="00111C37"/>
    <w:rsid w:val="00111C59"/>
    <w:rsid w:val="00111E6A"/>
    <w:rsid w:val="00111F3D"/>
    <w:rsid w:val="0011223A"/>
    <w:rsid w:val="00112249"/>
    <w:rsid w:val="00112505"/>
    <w:rsid w:val="0011258B"/>
    <w:rsid w:val="0011274E"/>
    <w:rsid w:val="001127BB"/>
    <w:rsid w:val="001127C6"/>
    <w:rsid w:val="001128E2"/>
    <w:rsid w:val="001129A2"/>
    <w:rsid w:val="00112AFC"/>
    <w:rsid w:val="00112B51"/>
    <w:rsid w:val="00112C02"/>
    <w:rsid w:val="00112C45"/>
    <w:rsid w:val="00112D22"/>
    <w:rsid w:val="00112FA2"/>
    <w:rsid w:val="001130AD"/>
    <w:rsid w:val="001132E0"/>
    <w:rsid w:val="001133C1"/>
    <w:rsid w:val="0011343C"/>
    <w:rsid w:val="00113602"/>
    <w:rsid w:val="001138DD"/>
    <w:rsid w:val="00113AA2"/>
    <w:rsid w:val="00113AEC"/>
    <w:rsid w:val="00113B4D"/>
    <w:rsid w:val="00113B73"/>
    <w:rsid w:val="00113BF9"/>
    <w:rsid w:val="00113C9F"/>
    <w:rsid w:val="00113CD3"/>
    <w:rsid w:val="00113D98"/>
    <w:rsid w:val="00113DEF"/>
    <w:rsid w:val="00113F42"/>
    <w:rsid w:val="00113FA8"/>
    <w:rsid w:val="00113FD2"/>
    <w:rsid w:val="0011405E"/>
    <w:rsid w:val="001141AE"/>
    <w:rsid w:val="00114245"/>
    <w:rsid w:val="00114293"/>
    <w:rsid w:val="001142FA"/>
    <w:rsid w:val="00114312"/>
    <w:rsid w:val="00114333"/>
    <w:rsid w:val="0011471A"/>
    <w:rsid w:val="00114AFC"/>
    <w:rsid w:val="00114B01"/>
    <w:rsid w:val="00114BD3"/>
    <w:rsid w:val="00114BFA"/>
    <w:rsid w:val="00114BFD"/>
    <w:rsid w:val="00114D2A"/>
    <w:rsid w:val="00114DB9"/>
    <w:rsid w:val="00114EBC"/>
    <w:rsid w:val="00114FD0"/>
    <w:rsid w:val="0011508A"/>
    <w:rsid w:val="00115210"/>
    <w:rsid w:val="00115217"/>
    <w:rsid w:val="00115225"/>
    <w:rsid w:val="00115275"/>
    <w:rsid w:val="00115425"/>
    <w:rsid w:val="00115471"/>
    <w:rsid w:val="00115480"/>
    <w:rsid w:val="00115539"/>
    <w:rsid w:val="00115673"/>
    <w:rsid w:val="00115693"/>
    <w:rsid w:val="00115752"/>
    <w:rsid w:val="001157B0"/>
    <w:rsid w:val="00115887"/>
    <w:rsid w:val="00115B3E"/>
    <w:rsid w:val="00115C61"/>
    <w:rsid w:val="00115CF4"/>
    <w:rsid w:val="00115CF6"/>
    <w:rsid w:val="00115D7D"/>
    <w:rsid w:val="00115E57"/>
    <w:rsid w:val="00115F6B"/>
    <w:rsid w:val="001160AA"/>
    <w:rsid w:val="001160E6"/>
    <w:rsid w:val="0011611D"/>
    <w:rsid w:val="00116282"/>
    <w:rsid w:val="001162A8"/>
    <w:rsid w:val="0011640B"/>
    <w:rsid w:val="00116415"/>
    <w:rsid w:val="00116418"/>
    <w:rsid w:val="00116493"/>
    <w:rsid w:val="00116494"/>
    <w:rsid w:val="00116695"/>
    <w:rsid w:val="0011685C"/>
    <w:rsid w:val="001168E7"/>
    <w:rsid w:val="001168FE"/>
    <w:rsid w:val="001169BD"/>
    <w:rsid w:val="00116A16"/>
    <w:rsid w:val="00116A36"/>
    <w:rsid w:val="00116A6A"/>
    <w:rsid w:val="00116C91"/>
    <w:rsid w:val="00116DA2"/>
    <w:rsid w:val="00116E27"/>
    <w:rsid w:val="00116EA3"/>
    <w:rsid w:val="00116F1A"/>
    <w:rsid w:val="00116F42"/>
    <w:rsid w:val="00117265"/>
    <w:rsid w:val="0011728D"/>
    <w:rsid w:val="00117480"/>
    <w:rsid w:val="00117596"/>
    <w:rsid w:val="001175C4"/>
    <w:rsid w:val="001176A6"/>
    <w:rsid w:val="001176F2"/>
    <w:rsid w:val="00117704"/>
    <w:rsid w:val="0011795C"/>
    <w:rsid w:val="001179B2"/>
    <w:rsid w:val="00117A07"/>
    <w:rsid w:val="00117A2D"/>
    <w:rsid w:val="00117A96"/>
    <w:rsid w:val="00117C9D"/>
    <w:rsid w:val="00117EA8"/>
    <w:rsid w:val="00120094"/>
    <w:rsid w:val="00120127"/>
    <w:rsid w:val="00120141"/>
    <w:rsid w:val="00120191"/>
    <w:rsid w:val="00120201"/>
    <w:rsid w:val="00120245"/>
    <w:rsid w:val="00120290"/>
    <w:rsid w:val="00120374"/>
    <w:rsid w:val="001204C2"/>
    <w:rsid w:val="0012056C"/>
    <w:rsid w:val="0012062A"/>
    <w:rsid w:val="00120668"/>
    <w:rsid w:val="001206C2"/>
    <w:rsid w:val="001207BA"/>
    <w:rsid w:val="00120800"/>
    <w:rsid w:val="00120937"/>
    <w:rsid w:val="001209D0"/>
    <w:rsid w:val="00120A3E"/>
    <w:rsid w:val="00120C6C"/>
    <w:rsid w:val="00120C6D"/>
    <w:rsid w:val="00120D16"/>
    <w:rsid w:val="00121074"/>
    <w:rsid w:val="00121098"/>
    <w:rsid w:val="0012124B"/>
    <w:rsid w:val="0012129A"/>
    <w:rsid w:val="0012157F"/>
    <w:rsid w:val="00121581"/>
    <w:rsid w:val="0012182B"/>
    <w:rsid w:val="00121A8C"/>
    <w:rsid w:val="00121CE3"/>
    <w:rsid w:val="00121D05"/>
    <w:rsid w:val="00121F74"/>
    <w:rsid w:val="00121FE5"/>
    <w:rsid w:val="00122033"/>
    <w:rsid w:val="001222C2"/>
    <w:rsid w:val="001222CE"/>
    <w:rsid w:val="001223BC"/>
    <w:rsid w:val="00122529"/>
    <w:rsid w:val="0012267A"/>
    <w:rsid w:val="0012273F"/>
    <w:rsid w:val="001227F3"/>
    <w:rsid w:val="00122A2F"/>
    <w:rsid w:val="00122A82"/>
    <w:rsid w:val="00122BD4"/>
    <w:rsid w:val="00122C9A"/>
    <w:rsid w:val="00122D8F"/>
    <w:rsid w:val="00122E5C"/>
    <w:rsid w:val="0012306F"/>
    <w:rsid w:val="001230AA"/>
    <w:rsid w:val="0012313E"/>
    <w:rsid w:val="001231CE"/>
    <w:rsid w:val="001231EC"/>
    <w:rsid w:val="00123376"/>
    <w:rsid w:val="001233F7"/>
    <w:rsid w:val="0012352D"/>
    <w:rsid w:val="00123709"/>
    <w:rsid w:val="0012380A"/>
    <w:rsid w:val="00123854"/>
    <w:rsid w:val="00123940"/>
    <w:rsid w:val="00123AC6"/>
    <w:rsid w:val="00123B1A"/>
    <w:rsid w:val="00123C42"/>
    <w:rsid w:val="00123E27"/>
    <w:rsid w:val="00123E4B"/>
    <w:rsid w:val="00123E7E"/>
    <w:rsid w:val="00123FCC"/>
    <w:rsid w:val="0012410F"/>
    <w:rsid w:val="00124183"/>
    <w:rsid w:val="001241A4"/>
    <w:rsid w:val="001242B1"/>
    <w:rsid w:val="001244F5"/>
    <w:rsid w:val="0012459D"/>
    <w:rsid w:val="00124885"/>
    <w:rsid w:val="001248C1"/>
    <w:rsid w:val="00124905"/>
    <w:rsid w:val="001249B3"/>
    <w:rsid w:val="00124CDC"/>
    <w:rsid w:val="00124D08"/>
    <w:rsid w:val="00124E1E"/>
    <w:rsid w:val="00124F6A"/>
    <w:rsid w:val="001250D8"/>
    <w:rsid w:val="00125114"/>
    <w:rsid w:val="001251E5"/>
    <w:rsid w:val="001252F4"/>
    <w:rsid w:val="00125325"/>
    <w:rsid w:val="001253B5"/>
    <w:rsid w:val="001254B2"/>
    <w:rsid w:val="001254EF"/>
    <w:rsid w:val="00125797"/>
    <w:rsid w:val="001258FC"/>
    <w:rsid w:val="00125A60"/>
    <w:rsid w:val="00125A93"/>
    <w:rsid w:val="00125B30"/>
    <w:rsid w:val="00125B66"/>
    <w:rsid w:val="00125B9D"/>
    <w:rsid w:val="00125CF3"/>
    <w:rsid w:val="00125D9B"/>
    <w:rsid w:val="00125D9C"/>
    <w:rsid w:val="00125DFD"/>
    <w:rsid w:val="00125E58"/>
    <w:rsid w:val="00125E66"/>
    <w:rsid w:val="0012604B"/>
    <w:rsid w:val="0012608D"/>
    <w:rsid w:val="001261F2"/>
    <w:rsid w:val="001263F5"/>
    <w:rsid w:val="00126622"/>
    <w:rsid w:val="001266E2"/>
    <w:rsid w:val="001266FE"/>
    <w:rsid w:val="0012682E"/>
    <w:rsid w:val="001268EE"/>
    <w:rsid w:val="00126903"/>
    <w:rsid w:val="00126AFD"/>
    <w:rsid w:val="00126DA8"/>
    <w:rsid w:val="00126E3C"/>
    <w:rsid w:val="00126F88"/>
    <w:rsid w:val="00126FA9"/>
    <w:rsid w:val="001272D8"/>
    <w:rsid w:val="0012732C"/>
    <w:rsid w:val="00127441"/>
    <w:rsid w:val="00127452"/>
    <w:rsid w:val="00127631"/>
    <w:rsid w:val="00127648"/>
    <w:rsid w:val="00127800"/>
    <w:rsid w:val="00127861"/>
    <w:rsid w:val="00127A06"/>
    <w:rsid w:val="00127AC9"/>
    <w:rsid w:val="00127C77"/>
    <w:rsid w:val="00127D56"/>
    <w:rsid w:val="00127E5E"/>
    <w:rsid w:val="00127EA8"/>
    <w:rsid w:val="00127EEE"/>
    <w:rsid w:val="00130023"/>
    <w:rsid w:val="001300A5"/>
    <w:rsid w:val="001300CF"/>
    <w:rsid w:val="0013018F"/>
    <w:rsid w:val="001302B1"/>
    <w:rsid w:val="00130365"/>
    <w:rsid w:val="001304E2"/>
    <w:rsid w:val="00130635"/>
    <w:rsid w:val="001309EC"/>
    <w:rsid w:val="00130AF4"/>
    <w:rsid w:val="00130CB5"/>
    <w:rsid w:val="00130D45"/>
    <w:rsid w:val="00130E0A"/>
    <w:rsid w:val="00130FB9"/>
    <w:rsid w:val="0013119A"/>
    <w:rsid w:val="001311C4"/>
    <w:rsid w:val="001312C8"/>
    <w:rsid w:val="00131334"/>
    <w:rsid w:val="0013142B"/>
    <w:rsid w:val="001314DF"/>
    <w:rsid w:val="0013167B"/>
    <w:rsid w:val="00131763"/>
    <w:rsid w:val="00131801"/>
    <w:rsid w:val="001318EF"/>
    <w:rsid w:val="00131A24"/>
    <w:rsid w:val="00131A37"/>
    <w:rsid w:val="00131AAC"/>
    <w:rsid w:val="00131AC4"/>
    <w:rsid w:val="00131DC3"/>
    <w:rsid w:val="00131E29"/>
    <w:rsid w:val="00131E3F"/>
    <w:rsid w:val="00131F7C"/>
    <w:rsid w:val="00131FFC"/>
    <w:rsid w:val="00132109"/>
    <w:rsid w:val="00132181"/>
    <w:rsid w:val="00132322"/>
    <w:rsid w:val="00132599"/>
    <w:rsid w:val="00132608"/>
    <w:rsid w:val="001326B9"/>
    <w:rsid w:val="00132778"/>
    <w:rsid w:val="00132818"/>
    <w:rsid w:val="00132897"/>
    <w:rsid w:val="001329BB"/>
    <w:rsid w:val="00132BE2"/>
    <w:rsid w:val="00132BE9"/>
    <w:rsid w:val="00132C79"/>
    <w:rsid w:val="00132CC6"/>
    <w:rsid w:val="00132CDA"/>
    <w:rsid w:val="00132E38"/>
    <w:rsid w:val="00132FBA"/>
    <w:rsid w:val="001330D5"/>
    <w:rsid w:val="0013322A"/>
    <w:rsid w:val="001332AB"/>
    <w:rsid w:val="001332D5"/>
    <w:rsid w:val="00133392"/>
    <w:rsid w:val="0013340C"/>
    <w:rsid w:val="00133453"/>
    <w:rsid w:val="001334D5"/>
    <w:rsid w:val="001335F1"/>
    <w:rsid w:val="0013366C"/>
    <w:rsid w:val="00133781"/>
    <w:rsid w:val="0013392F"/>
    <w:rsid w:val="00133972"/>
    <w:rsid w:val="001339EF"/>
    <w:rsid w:val="00133AA5"/>
    <w:rsid w:val="00133C41"/>
    <w:rsid w:val="00133CFD"/>
    <w:rsid w:val="00133E3D"/>
    <w:rsid w:val="00133E47"/>
    <w:rsid w:val="00133FBA"/>
    <w:rsid w:val="00134041"/>
    <w:rsid w:val="001341E6"/>
    <w:rsid w:val="00134213"/>
    <w:rsid w:val="001342BD"/>
    <w:rsid w:val="0013455C"/>
    <w:rsid w:val="001345F5"/>
    <w:rsid w:val="001346D8"/>
    <w:rsid w:val="0013475A"/>
    <w:rsid w:val="00134845"/>
    <w:rsid w:val="001348A9"/>
    <w:rsid w:val="00134A09"/>
    <w:rsid w:val="00134B38"/>
    <w:rsid w:val="00134D47"/>
    <w:rsid w:val="00134E11"/>
    <w:rsid w:val="0013501D"/>
    <w:rsid w:val="00135059"/>
    <w:rsid w:val="001350FD"/>
    <w:rsid w:val="00135173"/>
    <w:rsid w:val="00135249"/>
    <w:rsid w:val="00135273"/>
    <w:rsid w:val="00135308"/>
    <w:rsid w:val="0013534A"/>
    <w:rsid w:val="00135442"/>
    <w:rsid w:val="001355B6"/>
    <w:rsid w:val="00135790"/>
    <w:rsid w:val="00135798"/>
    <w:rsid w:val="00135871"/>
    <w:rsid w:val="0013588A"/>
    <w:rsid w:val="0013590D"/>
    <w:rsid w:val="001359BA"/>
    <w:rsid w:val="00135A7C"/>
    <w:rsid w:val="00135B16"/>
    <w:rsid w:val="00135BFC"/>
    <w:rsid w:val="00135CD1"/>
    <w:rsid w:val="00135DA5"/>
    <w:rsid w:val="00135DF4"/>
    <w:rsid w:val="00135E06"/>
    <w:rsid w:val="00135E4C"/>
    <w:rsid w:val="00135E67"/>
    <w:rsid w:val="00135ED6"/>
    <w:rsid w:val="00135EDC"/>
    <w:rsid w:val="00135EF7"/>
    <w:rsid w:val="00135F87"/>
    <w:rsid w:val="00135F9E"/>
    <w:rsid w:val="0013610D"/>
    <w:rsid w:val="00136209"/>
    <w:rsid w:val="00136276"/>
    <w:rsid w:val="00136376"/>
    <w:rsid w:val="0013677C"/>
    <w:rsid w:val="00136789"/>
    <w:rsid w:val="00136825"/>
    <w:rsid w:val="001368DD"/>
    <w:rsid w:val="00136910"/>
    <w:rsid w:val="00136C85"/>
    <w:rsid w:val="00136C9A"/>
    <w:rsid w:val="00136E5C"/>
    <w:rsid w:val="00136F5A"/>
    <w:rsid w:val="001371AB"/>
    <w:rsid w:val="001371F6"/>
    <w:rsid w:val="00137340"/>
    <w:rsid w:val="001373F5"/>
    <w:rsid w:val="0013756C"/>
    <w:rsid w:val="00137667"/>
    <w:rsid w:val="00137735"/>
    <w:rsid w:val="00137753"/>
    <w:rsid w:val="00137824"/>
    <w:rsid w:val="0013785F"/>
    <w:rsid w:val="001378F9"/>
    <w:rsid w:val="00137945"/>
    <w:rsid w:val="001379E0"/>
    <w:rsid w:val="00137A31"/>
    <w:rsid w:val="00137A48"/>
    <w:rsid w:val="00137ACB"/>
    <w:rsid w:val="00137AE2"/>
    <w:rsid w:val="00137B65"/>
    <w:rsid w:val="00137C69"/>
    <w:rsid w:val="00137D3B"/>
    <w:rsid w:val="0014005F"/>
    <w:rsid w:val="00140402"/>
    <w:rsid w:val="00140577"/>
    <w:rsid w:val="00140622"/>
    <w:rsid w:val="00140742"/>
    <w:rsid w:val="00140802"/>
    <w:rsid w:val="00140876"/>
    <w:rsid w:val="00140953"/>
    <w:rsid w:val="001409B5"/>
    <w:rsid w:val="00140B1C"/>
    <w:rsid w:val="00140BA8"/>
    <w:rsid w:val="00140CE7"/>
    <w:rsid w:val="00140ED9"/>
    <w:rsid w:val="00140F60"/>
    <w:rsid w:val="00140FB1"/>
    <w:rsid w:val="00140FF8"/>
    <w:rsid w:val="001412F9"/>
    <w:rsid w:val="001416F2"/>
    <w:rsid w:val="00141782"/>
    <w:rsid w:val="00141805"/>
    <w:rsid w:val="00141875"/>
    <w:rsid w:val="0014189C"/>
    <w:rsid w:val="00141932"/>
    <w:rsid w:val="00141ACF"/>
    <w:rsid w:val="00141AE4"/>
    <w:rsid w:val="00141B50"/>
    <w:rsid w:val="00141B8F"/>
    <w:rsid w:val="00141C9F"/>
    <w:rsid w:val="00141DB4"/>
    <w:rsid w:val="00141DD2"/>
    <w:rsid w:val="00141E41"/>
    <w:rsid w:val="00141E8B"/>
    <w:rsid w:val="00142027"/>
    <w:rsid w:val="00142135"/>
    <w:rsid w:val="0014214D"/>
    <w:rsid w:val="0014216B"/>
    <w:rsid w:val="0014238C"/>
    <w:rsid w:val="0014247E"/>
    <w:rsid w:val="0014288E"/>
    <w:rsid w:val="00142939"/>
    <w:rsid w:val="001429B6"/>
    <w:rsid w:val="001429BA"/>
    <w:rsid w:val="00142A31"/>
    <w:rsid w:val="00142AD9"/>
    <w:rsid w:val="00142B37"/>
    <w:rsid w:val="00142C6D"/>
    <w:rsid w:val="00142E34"/>
    <w:rsid w:val="00142F38"/>
    <w:rsid w:val="00142F51"/>
    <w:rsid w:val="00142FA0"/>
    <w:rsid w:val="00143058"/>
    <w:rsid w:val="00143179"/>
    <w:rsid w:val="001431CD"/>
    <w:rsid w:val="0014329A"/>
    <w:rsid w:val="001432F8"/>
    <w:rsid w:val="00143303"/>
    <w:rsid w:val="0014349C"/>
    <w:rsid w:val="00143504"/>
    <w:rsid w:val="00143573"/>
    <w:rsid w:val="0014357A"/>
    <w:rsid w:val="001435F9"/>
    <w:rsid w:val="00143725"/>
    <w:rsid w:val="00143870"/>
    <w:rsid w:val="00143960"/>
    <w:rsid w:val="00143A15"/>
    <w:rsid w:val="00143B18"/>
    <w:rsid w:val="00143B97"/>
    <w:rsid w:val="00143DEA"/>
    <w:rsid w:val="00143E5F"/>
    <w:rsid w:val="00144006"/>
    <w:rsid w:val="0014405A"/>
    <w:rsid w:val="00144074"/>
    <w:rsid w:val="00144121"/>
    <w:rsid w:val="0014412A"/>
    <w:rsid w:val="0014415F"/>
    <w:rsid w:val="001441FF"/>
    <w:rsid w:val="001442D3"/>
    <w:rsid w:val="00144304"/>
    <w:rsid w:val="001443DE"/>
    <w:rsid w:val="00144516"/>
    <w:rsid w:val="00144583"/>
    <w:rsid w:val="001445D2"/>
    <w:rsid w:val="00144681"/>
    <w:rsid w:val="00144729"/>
    <w:rsid w:val="001447E3"/>
    <w:rsid w:val="00144893"/>
    <w:rsid w:val="00144B4F"/>
    <w:rsid w:val="00144BD3"/>
    <w:rsid w:val="00144D63"/>
    <w:rsid w:val="00144E56"/>
    <w:rsid w:val="00144FA6"/>
    <w:rsid w:val="00145074"/>
    <w:rsid w:val="0014519D"/>
    <w:rsid w:val="001452E8"/>
    <w:rsid w:val="001454FD"/>
    <w:rsid w:val="00145643"/>
    <w:rsid w:val="00145672"/>
    <w:rsid w:val="00145825"/>
    <w:rsid w:val="00145982"/>
    <w:rsid w:val="00145A23"/>
    <w:rsid w:val="00145AB6"/>
    <w:rsid w:val="00145E66"/>
    <w:rsid w:val="00146071"/>
    <w:rsid w:val="00146079"/>
    <w:rsid w:val="001460E2"/>
    <w:rsid w:val="00146135"/>
    <w:rsid w:val="0014614A"/>
    <w:rsid w:val="00146195"/>
    <w:rsid w:val="00146268"/>
    <w:rsid w:val="001462CF"/>
    <w:rsid w:val="001462EF"/>
    <w:rsid w:val="001465D9"/>
    <w:rsid w:val="001465FE"/>
    <w:rsid w:val="00146601"/>
    <w:rsid w:val="00146662"/>
    <w:rsid w:val="001466D1"/>
    <w:rsid w:val="00146743"/>
    <w:rsid w:val="00146765"/>
    <w:rsid w:val="001467EF"/>
    <w:rsid w:val="0014699B"/>
    <w:rsid w:val="001469EB"/>
    <w:rsid w:val="001469FF"/>
    <w:rsid w:val="00146AAA"/>
    <w:rsid w:val="00146C1E"/>
    <w:rsid w:val="00146F6F"/>
    <w:rsid w:val="00146F73"/>
    <w:rsid w:val="00147078"/>
    <w:rsid w:val="0014740D"/>
    <w:rsid w:val="0014742C"/>
    <w:rsid w:val="00147581"/>
    <w:rsid w:val="001475B5"/>
    <w:rsid w:val="00147668"/>
    <w:rsid w:val="0014766E"/>
    <w:rsid w:val="00147790"/>
    <w:rsid w:val="0014783B"/>
    <w:rsid w:val="001478D0"/>
    <w:rsid w:val="00147B49"/>
    <w:rsid w:val="00147B5E"/>
    <w:rsid w:val="00147C90"/>
    <w:rsid w:val="00147E7D"/>
    <w:rsid w:val="001500AF"/>
    <w:rsid w:val="001501D8"/>
    <w:rsid w:val="0015022E"/>
    <w:rsid w:val="00150308"/>
    <w:rsid w:val="001504BE"/>
    <w:rsid w:val="001504FC"/>
    <w:rsid w:val="0015051E"/>
    <w:rsid w:val="0015054C"/>
    <w:rsid w:val="00150572"/>
    <w:rsid w:val="00150854"/>
    <w:rsid w:val="001508D7"/>
    <w:rsid w:val="00150910"/>
    <w:rsid w:val="00150A50"/>
    <w:rsid w:val="00150A7A"/>
    <w:rsid w:val="00150B8A"/>
    <w:rsid w:val="00150C16"/>
    <w:rsid w:val="00150CDE"/>
    <w:rsid w:val="00150D86"/>
    <w:rsid w:val="00150DB1"/>
    <w:rsid w:val="00150E70"/>
    <w:rsid w:val="00150EFE"/>
    <w:rsid w:val="00150F34"/>
    <w:rsid w:val="00150FF1"/>
    <w:rsid w:val="00151090"/>
    <w:rsid w:val="00151154"/>
    <w:rsid w:val="001511AA"/>
    <w:rsid w:val="001511EA"/>
    <w:rsid w:val="00151246"/>
    <w:rsid w:val="00151345"/>
    <w:rsid w:val="001513D2"/>
    <w:rsid w:val="00151640"/>
    <w:rsid w:val="001517D5"/>
    <w:rsid w:val="00151807"/>
    <w:rsid w:val="00151808"/>
    <w:rsid w:val="001518E2"/>
    <w:rsid w:val="00151901"/>
    <w:rsid w:val="00151A1D"/>
    <w:rsid w:val="00151A74"/>
    <w:rsid w:val="00151AE4"/>
    <w:rsid w:val="00151B37"/>
    <w:rsid w:val="00151BCA"/>
    <w:rsid w:val="00151C6E"/>
    <w:rsid w:val="00151C81"/>
    <w:rsid w:val="00151CA0"/>
    <w:rsid w:val="00151D99"/>
    <w:rsid w:val="00151E22"/>
    <w:rsid w:val="00151F4F"/>
    <w:rsid w:val="00151F6B"/>
    <w:rsid w:val="00151FC8"/>
    <w:rsid w:val="0015204A"/>
    <w:rsid w:val="00152102"/>
    <w:rsid w:val="0015235A"/>
    <w:rsid w:val="001523D3"/>
    <w:rsid w:val="001525F2"/>
    <w:rsid w:val="001527B5"/>
    <w:rsid w:val="001527E5"/>
    <w:rsid w:val="001528DB"/>
    <w:rsid w:val="00152A48"/>
    <w:rsid w:val="00152A4F"/>
    <w:rsid w:val="00152A67"/>
    <w:rsid w:val="00152AB6"/>
    <w:rsid w:val="00152D78"/>
    <w:rsid w:val="00152DFF"/>
    <w:rsid w:val="00152E7B"/>
    <w:rsid w:val="00152F10"/>
    <w:rsid w:val="0015302D"/>
    <w:rsid w:val="00153135"/>
    <w:rsid w:val="0015334E"/>
    <w:rsid w:val="001535DC"/>
    <w:rsid w:val="001536CB"/>
    <w:rsid w:val="00153795"/>
    <w:rsid w:val="001537F7"/>
    <w:rsid w:val="001539C7"/>
    <w:rsid w:val="00153A67"/>
    <w:rsid w:val="00153B05"/>
    <w:rsid w:val="00153C36"/>
    <w:rsid w:val="00153E12"/>
    <w:rsid w:val="0015442C"/>
    <w:rsid w:val="00154605"/>
    <w:rsid w:val="0015477A"/>
    <w:rsid w:val="001547C8"/>
    <w:rsid w:val="00154C12"/>
    <w:rsid w:val="00154CAC"/>
    <w:rsid w:val="00154E33"/>
    <w:rsid w:val="00154E86"/>
    <w:rsid w:val="00154F16"/>
    <w:rsid w:val="00154FB7"/>
    <w:rsid w:val="0015506C"/>
    <w:rsid w:val="001552DF"/>
    <w:rsid w:val="001552E0"/>
    <w:rsid w:val="001552F5"/>
    <w:rsid w:val="00155320"/>
    <w:rsid w:val="0015557C"/>
    <w:rsid w:val="00155619"/>
    <w:rsid w:val="001557F4"/>
    <w:rsid w:val="0015593F"/>
    <w:rsid w:val="00155BA0"/>
    <w:rsid w:val="00155C06"/>
    <w:rsid w:val="00155D8F"/>
    <w:rsid w:val="00155E26"/>
    <w:rsid w:val="00155E94"/>
    <w:rsid w:val="00155FA3"/>
    <w:rsid w:val="00156002"/>
    <w:rsid w:val="001561D3"/>
    <w:rsid w:val="001561DB"/>
    <w:rsid w:val="00156241"/>
    <w:rsid w:val="00156291"/>
    <w:rsid w:val="00156445"/>
    <w:rsid w:val="00156544"/>
    <w:rsid w:val="001565EF"/>
    <w:rsid w:val="001565FA"/>
    <w:rsid w:val="0015695D"/>
    <w:rsid w:val="00156A49"/>
    <w:rsid w:val="00156BF9"/>
    <w:rsid w:val="00156C10"/>
    <w:rsid w:val="00156D33"/>
    <w:rsid w:val="00156DDB"/>
    <w:rsid w:val="00156F0D"/>
    <w:rsid w:val="00156F1B"/>
    <w:rsid w:val="00157153"/>
    <w:rsid w:val="0015718B"/>
    <w:rsid w:val="001572FD"/>
    <w:rsid w:val="00157352"/>
    <w:rsid w:val="00157383"/>
    <w:rsid w:val="001574C0"/>
    <w:rsid w:val="001574F3"/>
    <w:rsid w:val="0015752A"/>
    <w:rsid w:val="00157565"/>
    <w:rsid w:val="001575BA"/>
    <w:rsid w:val="001577FE"/>
    <w:rsid w:val="001578D2"/>
    <w:rsid w:val="0015790A"/>
    <w:rsid w:val="00157AA9"/>
    <w:rsid w:val="00157B08"/>
    <w:rsid w:val="00157B95"/>
    <w:rsid w:val="00157CC8"/>
    <w:rsid w:val="00157DF4"/>
    <w:rsid w:val="00157E82"/>
    <w:rsid w:val="00157FB2"/>
    <w:rsid w:val="00157FF3"/>
    <w:rsid w:val="00160041"/>
    <w:rsid w:val="00160175"/>
    <w:rsid w:val="001605C1"/>
    <w:rsid w:val="00160609"/>
    <w:rsid w:val="00160676"/>
    <w:rsid w:val="001606CF"/>
    <w:rsid w:val="00160850"/>
    <w:rsid w:val="001609C2"/>
    <w:rsid w:val="00160A72"/>
    <w:rsid w:val="00160BDF"/>
    <w:rsid w:val="00160BE3"/>
    <w:rsid w:val="00160C69"/>
    <w:rsid w:val="00160DC5"/>
    <w:rsid w:val="00160DE2"/>
    <w:rsid w:val="00160EC0"/>
    <w:rsid w:val="00160F79"/>
    <w:rsid w:val="00160FB9"/>
    <w:rsid w:val="00160FC8"/>
    <w:rsid w:val="00161076"/>
    <w:rsid w:val="00161092"/>
    <w:rsid w:val="001611AD"/>
    <w:rsid w:val="0016128D"/>
    <w:rsid w:val="001613C6"/>
    <w:rsid w:val="001613E1"/>
    <w:rsid w:val="0016141E"/>
    <w:rsid w:val="001616CA"/>
    <w:rsid w:val="0016178C"/>
    <w:rsid w:val="00161833"/>
    <w:rsid w:val="00161B5C"/>
    <w:rsid w:val="00161BDB"/>
    <w:rsid w:val="00161D39"/>
    <w:rsid w:val="00161D47"/>
    <w:rsid w:val="00161D7A"/>
    <w:rsid w:val="00161E27"/>
    <w:rsid w:val="00162032"/>
    <w:rsid w:val="001620FD"/>
    <w:rsid w:val="0016220D"/>
    <w:rsid w:val="001622C3"/>
    <w:rsid w:val="0016249F"/>
    <w:rsid w:val="001624F4"/>
    <w:rsid w:val="0016250D"/>
    <w:rsid w:val="0016265F"/>
    <w:rsid w:val="001626A8"/>
    <w:rsid w:val="001627CF"/>
    <w:rsid w:val="00162840"/>
    <w:rsid w:val="00162AD9"/>
    <w:rsid w:val="00162C90"/>
    <w:rsid w:val="00162CBF"/>
    <w:rsid w:val="00162CC2"/>
    <w:rsid w:val="00162D2D"/>
    <w:rsid w:val="00162DBA"/>
    <w:rsid w:val="00162EB8"/>
    <w:rsid w:val="00162EBE"/>
    <w:rsid w:val="00162F5C"/>
    <w:rsid w:val="00162FEC"/>
    <w:rsid w:val="00163024"/>
    <w:rsid w:val="0016302D"/>
    <w:rsid w:val="0016314C"/>
    <w:rsid w:val="001632C7"/>
    <w:rsid w:val="0016341F"/>
    <w:rsid w:val="00163430"/>
    <w:rsid w:val="0016346F"/>
    <w:rsid w:val="00163649"/>
    <w:rsid w:val="00163778"/>
    <w:rsid w:val="001637AC"/>
    <w:rsid w:val="00163813"/>
    <w:rsid w:val="00163971"/>
    <w:rsid w:val="00163B49"/>
    <w:rsid w:val="00163E23"/>
    <w:rsid w:val="00163EB6"/>
    <w:rsid w:val="00163EDC"/>
    <w:rsid w:val="00163F77"/>
    <w:rsid w:val="00163FCB"/>
    <w:rsid w:val="0016401F"/>
    <w:rsid w:val="00164079"/>
    <w:rsid w:val="00164098"/>
    <w:rsid w:val="001640DB"/>
    <w:rsid w:val="00164152"/>
    <w:rsid w:val="00164153"/>
    <w:rsid w:val="001641E7"/>
    <w:rsid w:val="00164259"/>
    <w:rsid w:val="00164535"/>
    <w:rsid w:val="00164551"/>
    <w:rsid w:val="0016458D"/>
    <w:rsid w:val="00164599"/>
    <w:rsid w:val="001646A6"/>
    <w:rsid w:val="001647DE"/>
    <w:rsid w:val="0016498C"/>
    <w:rsid w:val="00164BAC"/>
    <w:rsid w:val="00164CC0"/>
    <w:rsid w:val="00164EF1"/>
    <w:rsid w:val="00164EFB"/>
    <w:rsid w:val="00165048"/>
    <w:rsid w:val="00165268"/>
    <w:rsid w:val="001653C8"/>
    <w:rsid w:val="00165415"/>
    <w:rsid w:val="00165490"/>
    <w:rsid w:val="00165782"/>
    <w:rsid w:val="00165799"/>
    <w:rsid w:val="00165838"/>
    <w:rsid w:val="00165865"/>
    <w:rsid w:val="001658C2"/>
    <w:rsid w:val="00165931"/>
    <w:rsid w:val="001659D5"/>
    <w:rsid w:val="00165B53"/>
    <w:rsid w:val="00165D21"/>
    <w:rsid w:val="00165F90"/>
    <w:rsid w:val="001660E1"/>
    <w:rsid w:val="00166133"/>
    <w:rsid w:val="0016634C"/>
    <w:rsid w:val="00166372"/>
    <w:rsid w:val="00166396"/>
    <w:rsid w:val="001663AC"/>
    <w:rsid w:val="001664AF"/>
    <w:rsid w:val="001666E4"/>
    <w:rsid w:val="001666EB"/>
    <w:rsid w:val="001669C1"/>
    <w:rsid w:val="00166A4C"/>
    <w:rsid w:val="00166A80"/>
    <w:rsid w:val="00166B20"/>
    <w:rsid w:val="00166B4A"/>
    <w:rsid w:val="00166BC9"/>
    <w:rsid w:val="00166C33"/>
    <w:rsid w:val="00166CC7"/>
    <w:rsid w:val="00166CE3"/>
    <w:rsid w:val="00166CFC"/>
    <w:rsid w:val="00166D4F"/>
    <w:rsid w:val="0016711F"/>
    <w:rsid w:val="001672B6"/>
    <w:rsid w:val="00167314"/>
    <w:rsid w:val="001673CA"/>
    <w:rsid w:val="00167516"/>
    <w:rsid w:val="0016772A"/>
    <w:rsid w:val="001677DD"/>
    <w:rsid w:val="00167827"/>
    <w:rsid w:val="00167890"/>
    <w:rsid w:val="00167898"/>
    <w:rsid w:val="001678B2"/>
    <w:rsid w:val="001678EC"/>
    <w:rsid w:val="001679BE"/>
    <w:rsid w:val="00167A8C"/>
    <w:rsid w:val="00167CA8"/>
    <w:rsid w:val="00167DC5"/>
    <w:rsid w:val="00167E81"/>
    <w:rsid w:val="00167FD3"/>
    <w:rsid w:val="0017033A"/>
    <w:rsid w:val="0017038A"/>
    <w:rsid w:val="00170432"/>
    <w:rsid w:val="00170442"/>
    <w:rsid w:val="001704D1"/>
    <w:rsid w:val="001706EC"/>
    <w:rsid w:val="00170887"/>
    <w:rsid w:val="0017089D"/>
    <w:rsid w:val="00170C34"/>
    <w:rsid w:val="00170C6A"/>
    <w:rsid w:val="00170CEE"/>
    <w:rsid w:val="00170D06"/>
    <w:rsid w:val="00170EFD"/>
    <w:rsid w:val="00170F37"/>
    <w:rsid w:val="00171058"/>
    <w:rsid w:val="001711BF"/>
    <w:rsid w:val="00171245"/>
    <w:rsid w:val="0017129B"/>
    <w:rsid w:val="001712A0"/>
    <w:rsid w:val="001712B6"/>
    <w:rsid w:val="001713A6"/>
    <w:rsid w:val="001713D5"/>
    <w:rsid w:val="001714E6"/>
    <w:rsid w:val="00171670"/>
    <w:rsid w:val="0017187D"/>
    <w:rsid w:val="001718FA"/>
    <w:rsid w:val="00171937"/>
    <w:rsid w:val="00171A63"/>
    <w:rsid w:val="00171AB1"/>
    <w:rsid w:val="00171C52"/>
    <w:rsid w:val="00171D1B"/>
    <w:rsid w:val="00171D8E"/>
    <w:rsid w:val="0017200C"/>
    <w:rsid w:val="00172025"/>
    <w:rsid w:val="001721FE"/>
    <w:rsid w:val="00172234"/>
    <w:rsid w:val="001722FB"/>
    <w:rsid w:val="0017256B"/>
    <w:rsid w:val="001726D2"/>
    <w:rsid w:val="00172720"/>
    <w:rsid w:val="0017296B"/>
    <w:rsid w:val="00172978"/>
    <w:rsid w:val="001729BF"/>
    <w:rsid w:val="00172A4F"/>
    <w:rsid w:val="00172C71"/>
    <w:rsid w:val="00172DAB"/>
    <w:rsid w:val="0017305B"/>
    <w:rsid w:val="001731F7"/>
    <w:rsid w:val="00173258"/>
    <w:rsid w:val="0017327A"/>
    <w:rsid w:val="00173280"/>
    <w:rsid w:val="00173524"/>
    <w:rsid w:val="00173588"/>
    <w:rsid w:val="0017358F"/>
    <w:rsid w:val="0017368D"/>
    <w:rsid w:val="00173807"/>
    <w:rsid w:val="0017394B"/>
    <w:rsid w:val="00173BBE"/>
    <w:rsid w:val="00173C51"/>
    <w:rsid w:val="00173C5E"/>
    <w:rsid w:val="00173CB0"/>
    <w:rsid w:val="00173D64"/>
    <w:rsid w:val="00173DCB"/>
    <w:rsid w:val="00174044"/>
    <w:rsid w:val="00174046"/>
    <w:rsid w:val="001740DF"/>
    <w:rsid w:val="0017418A"/>
    <w:rsid w:val="001742D8"/>
    <w:rsid w:val="001742E3"/>
    <w:rsid w:val="0017438D"/>
    <w:rsid w:val="00174394"/>
    <w:rsid w:val="00174410"/>
    <w:rsid w:val="0017455A"/>
    <w:rsid w:val="001745C1"/>
    <w:rsid w:val="00174685"/>
    <w:rsid w:val="001746CF"/>
    <w:rsid w:val="001747A1"/>
    <w:rsid w:val="00174A64"/>
    <w:rsid w:val="00174B3C"/>
    <w:rsid w:val="00175025"/>
    <w:rsid w:val="0017508F"/>
    <w:rsid w:val="001750EB"/>
    <w:rsid w:val="001752B6"/>
    <w:rsid w:val="001752FF"/>
    <w:rsid w:val="0017535A"/>
    <w:rsid w:val="001754A1"/>
    <w:rsid w:val="00175542"/>
    <w:rsid w:val="00175593"/>
    <w:rsid w:val="0017567E"/>
    <w:rsid w:val="0017570F"/>
    <w:rsid w:val="001757E8"/>
    <w:rsid w:val="001757E9"/>
    <w:rsid w:val="00175872"/>
    <w:rsid w:val="00175BAF"/>
    <w:rsid w:val="00175BBB"/>
    <w:rsid w:val="00175C4D"/>
    <w:rsid w:val="00175DB7"/>
    <w:rsid w:val="00175E90"/>
    <w:rsid w:val="0017609B"/>
    <w:rsid w:val="00176360"/>
    <w:rsid w:val="001763DF"/>
    <w:rsid w:val="00176456"/>
    <w:rsid w:val="0017669D"/>
    <w:rsid w:val="001767CC"/>
    <w:rsid w:val="00176836"/>
    <w:rsid w:val="001768EF"/>
    <w:rsid w:val="00176B06"/>
    <w:rsid w:val="00176BE2"/>
    <w:rsid w:val="00176C0F"/>
    <w:rsid w:val="00176C80"/>
    <w:rsid w:val="00176D1C"/>
    <w:rsid w:val="00176E37"/>
    <w:rsid w:val="00176E3F"/>
    <w:rsid w:val="00176F67"/>
    <w:rsid w:val="00177078"/>
    <w:rsid w:val="001770B9"/>
    <w:rsid w:val="001770E2"/>
    <w:rsid w:val="001771ED"/>
    <w:rsid w:val="0017725C"/>
    <w:rsid w:val="00177352"/>
    <w:rsid w:val="00177362"/>
    <w:rsid w:val="001773EF"/>
    <w:rsid w:val="001774D0"/>
    <w:rsid w:val="001774EC"/>
    <w:rsid w:val="00177542"/>
    <w:rsid w:val="0017769D"/>
    <w:rsid w:val="001777BC"/>
    <w:rsid w:val="00177861"/>
    <w:rsid w:val="00177879"/>
    <w:rsid w:val="001778C8"/>
    <w:rsid w:val="001779BF"/>
    <w:rsid w:val="00177A9C"/>
    <w:rsid w:val="00177B22"/>
    <w:rsid w:val="00177DF0"/>
    <w:rsid w:val="00177E46"/>
    <w:rsid w:val="0018005A"/>
    <w:rsid w:val="001801A5"/>
    <w:rsid w:val="00180212"/>
    <w:rsid w:val="001803B4"/>
    <w:rsid w:val="001805A8"/>
    <w:rsid w:val="001805E1"/>
    <w:rsid w:val="00180610"/>
    <w:rsid w:val="00180987"/>
    <w:rsid w:val="00180999"/>
    <w:rsid w:val="001809AB"/>
    <w:rsid w:val="00180AD5"/>
    <w:rsid w:val="00180B37"/>
    <w:rsid w:val="00180B8A"/>
    <w:rsid w:val="00180B93"/>
    <w:rsid w:val="00180C1A"/>
    <w:rsid w:val="00180C77"/>
    <w:rsid w:val="00180C8F"/>
    <w:rsid w:val="00180D04"/>
    <w:rsid w:val="00180EAE"/>
    <w:rsid w:val="00181174"/>
    <w:rsid w:val="00181433"/>
    <w:rsid w:val="00181505"/>
    <w:rsid w:val="00181523"/>
    <w:rsid w:val="00181674"/>
    <w:rsid w:val="001816DF"/>
    <w:rsid w:val="00181742"/>
    <w:rsid w:val="001818EE"/>
    <w:rsid w:val="00181914"/>
    <w:rsid w:val="001819A5"/>
    <w:rsid w:val="00181A61"/>
    <w:rsid w:val="00181B6B"/>
    <w:rsid w:val="00181BD0"/>
    <w:rsid w:val="00181BDB"/>
    <w:rsid w:val="00181C57"/>
    <w:rsid w:val="00181EFB"/>
    <w:rsid w:val="00181FB2"/>
    <w:rsid w:val="00182156"/>
    <w:rsid w:val="0018235D"/>
    <w:rsid w:val="00182410"/>
    <w:rsid w:val="0018249B"/>
    <w:rsid w:val="001824EC"/>
    <w:rsid w:val="001826CE"/>
    <w:rsid w:val="00182818"/>
    <w:rsid w:val="00182CA5"/>
    <w:rsid w:val="00182CE6"/>
    <w:rsid w:val="00182D0E"/>
    <w:rsid w:val="00182DE3"/>
    <w:rsid w:val="00182E7F"/>
    <w:rsid w:val="00182F9C"/>
    <w:rsid w:val="001830EC"/>
    <w:rsid w:val="0018310B"/>
    <w:rsid w:val="00183310"/>
    <w:rsid w:val="001835EA"/>
    <w:rsid w:val="001835F1"/>
    <w:rsid w:val="00183685"/>
    <w:rsid w:val="001837CB"/>
    <w:rsid w:val="00183A34"/>
    <w:rsid w:val="00183D02"/>
    <w:rsid w:val="00183E4C"/>
    <w:rsid w:val="00183EAE"/>
    <w:rsid w:val="001840CC"/>
    <w:rsid w:val="00184168"/>
    <w:rsid w:val="001841B4"/>
    <w:rsid w:val="00184394"/>
    <w:rsid w:val="001843B2"/>
    <w:rsid w:val="001844E0"/>
    <w:rsid w:val="001845EB"/>
    <w:rsid w:val="0018468E"/>
    <w:rsid w:val="00184730"/>
    <w:rsid w:val="00184929"/>
    <w:rsid w:val="00184A3D"/>
    <w:rsid w:val="00184ACF"/>
    <w:rsid w:val="00184B0E"/>
    <w:rsid w:val="00184C6E"/>
    <w:rsid w:val="00184D47"/>
    <w:rsid w:val="00184DBE"/>
    <w:rsid w:val="00184E41"/>
    <w:rsid w:val="00184EDB"/>
    <w:rsid w:val="00184FE1"/>
    <w:rsid w:val="0018509C"/>
    <w:rsid w:val="00185247"/>
    <w:rsid w:val="00185409"/>
    <w:rsid w:val="00185453"/>
    <w:rsid w:val="00185477"/>
    <w:rsid w:val="0018554A"/>
    <w:rsid w:val="001855C9"/>
    <w:rsid w:val="00185783"/>
    <w:rsid w:val="0018583A"/>
    <w:rsid w:val="00185979"/>
    <w:rsid w:val="00185C28"/>
    <w:rsid w:val="00185E38"/>
    <w:rsid w:val="00185F3E"/>
    <w:rsid w:val="00186023"/>
    <w:rsid w:val="0018604B"/>
    <w:rsid w:val="0018614C"/>
    <w:rsid w:val="001861AF"/>
    <w:rsid w:val="001862D7"/>
    <w:rsid w:val="00186383"/>
    <w:rsid w:val="001865A3"/>
    <w:rsid w:val="00186667"/>
    <w:rsid w:val="0018668A"/>
    <w:rsid w:val="0018670F"/>
    <w:rsid w:val="0018693E"/>
    <w:rsid w:val="001869B1"/>
    <w:rsid w:val="001869F8"/>
    <w:rsid w:val="00186A6D"/>
    <w:rsid w:val="00186C23"/>
    <w:rsid w:val="00186C82"/>
    <w:rsid w:val="00186D63"/>
    <w:rsid w:val="00186D9B"/>
    <w:rsid w:val="00186F55"/>
    <w:rsid w:val="00186FF6"/>
    <w:rsid w:val="00187043"/>
    <w:rsid w:val="00187097"/>
    <w:rsid w:val="001873F5"/>
    <w:rsid w:val="001874CE"/>
    <w:rsid w:val="00187536"/>
    <w:rsid w:val="00187595"/>
    <w:rsid w:val="001875A8"/>
    <w:rsid w:val="00187BFC"/>
    <w:rsid w:val="00187C02"/>
    <w:rsid w:val="00187CC3"/>
    <w:rsid w:val="00187CF8"/>
    <w:rsid w:val="00187D8B"/>
    <w:rsid w:val="00187E03"/>
    <w:rsid w:val="00187EFD"/>
    <w:rsid w:val="00187FF8"/>
    <w:rsid w:val="00190013"/>
    <w:rsid w:val="001900F5"/>
    <w:rsid w:val="0019021D"/>
    <w:rsid w:val="00190263"/>
    <w:rsid w:val="00190522"/>
    <w:rsid w:val="001905DA"/>
    <w:rsid w:val="0019068D"/>
    <w:rsid w:val="001906BD"/>
    <w:rsid w:val="001906E0"/>
    <w:rsid w:val="0019070F"/>
    <w:rsid w:val="0019072C"/>
    <w:rsid w:val="001907B6"/>
    <w:rsid w:val="0019083C"/>
    <w:rsid w:val="001908D1"/>
    <w:rsid w:val="00190996"/>
    <w:rsid w:val="001909B7"/>
    <w:rsid w:val="00190A2C"/>
    <w:rsid w:val="00190C19"/>
    <w:rsid w:val="00190CAB"/>
    <w:rsid w:val="00190FCD"/>
    <w:rsid w:val="0019101A"/>
    <w:rsid w:val="00191128"/>
    <w:rsid w:val="0019124D"/>
    <w:rsid w:val="001912BE"/>
    <w:rsid w:val="001913BA"/>
    <w:rsid w:val="0019166E"/>
    <w:rsid w:val="00191818"/>
    <w:rsid w:val="0019184B"/>
    <w:rsid w:val="00191892"/>
    <w:rsid w:val="00191914"/>
    <w:rsid w:val="00191A71"/>
    <w:rsid w:val="00191AC1"/>
    <w:rsid w:val="00191F53"/>
    <w:rsid w:val="0019212C"/>
    <w:rsid w:val="00192217"/>
    <w:rsid w:val="0019233F"/>
    <w:rsid w:val="001923B7"/>
    <w:rsid w:val="0019241A"/>
    <w:rsid w:val="0019254A"/>
    <w:rsid w:val="0019257C"/>
    <w:rsid w:val="001926B7"/>
    <w:rsid w:val="0019282F"/>
    <w:rsid w:val="00192BCA"/>
    <w:rsid w:val="00192C9F"/>
    <w:rsid w:val="00192DE5"/>
    <w:rsid w:val="00192E5C"/>
    <w:rsid w:val="00192E9B"/>
    <w:rsid w:val="00192EDF"/>
    <w:rsid w:val="00192F20"/>
    <w:rsid w:val="0019300C"/>
    <w:rsid w:val="00193113"/>
    <w:rsid w:val="001931C2"/>
    <w:rsid w:val="001931CF"/>
    <w:rsid w:val="00193291"/>
    <w:rsid w:val="0019329E"/>
    <w:rsid w:val="001934E9"/>
    <w:rsid w:val="0019354F"/>
    <w:rsid w:val="0019371D"/>
    <w:rsid w:val="001938CD"/>
    <w:rsid w:val="0019390E"/>
    <w:rsid w:val="00193956"/>
    <w:rsid w:val="001939BF"/>
    <w:rsid w:val="00193A38"/>
    <w:rsid w:val="00193B34"/>
    <w:rsid w:val="00193B3B"/>
    <w:rsid w:val="00193C2C"/>
    <w:rsid w:val="00193D27"/>
    <w:rsid w:val="00193DED"/>
    <w:rsid w:val="00193E3C"/>
    <w:rsid w:val="00193F52"/>
    <w:rsid w:val="00193F77"/>
    <w:rsid w:val="001941EC"/>
    <w:rsid w:val="001941FB"/>
    <w:rsid w:val="001943A1"/>
    <w:rsid w:val="0019455D"/>
    <w:rsid w:val="00194759"/>
    <w:rsid w:val="001947E4"/>
    <w:rsid w:val="00194802"/>
    <w:rsid w:val="0019481D"/>
    <w:rsid w:val="0019494A"/>
    <w:rsid w:val="00194A39"/>
    <w:rsid w:val="00194AC7"/>
    <w:rsid w:val="00194B1C"/>
    <w:rsid w:val="00194C3D"/>
    <w:rsid w:val="00194D0F"/>
    <w:rsid w:val="00194DB1"/>
    <w:rsid w:val="00194F82"/>
    <w:rsid w:val="00195001"/>
    <w:rsid w:val="0019508E"/>
    <w:rsid w:val="00195090"/>
    <w:rsid w:val="001953C7"/>
    <w:rsid w:val="0019540C"/>
    <w:rsid w:val="0019542F"/>
    <w:rsid w:val="001954DC"/>
    <w:rsid w:val="001954FC"/>
    <w:rsid w:val="0019555A"/>
    <w:rsid w:val="001956B4"/>
    <w:rsid w:val="00195757"/>
    <w:rsid w:val="001958FF"/>
    <w:rsid w:val="00195950"/>
    <w:rsid w:val="00195A89"/>
    <w:rsid w:val="00195B4B"/>
    <w:rsid w:val="00195BB4"/>
    <w:rsid w:val="00195C8E"/>
    <w:rsid w:val="00195D78"/>
    <w:rsid w:val="00195E25"/>
    <w:rsid w:val="00195F08"/>
    <w:rsid w:val="00195F5E"/>
    <w:rsid w:val="00196099"/>
    <w:rsid w:val="001960EB"/>
    <w:rsid w:val="0019610A"/>
    <w:rsid w:val="0019663D"/>
    <w:rsid w:val="001967C3"/>
    <w:rsid w:val="0019687A"/>
    <w:rsid w:val="00196A4B"/>
    <w:rsid w:val="00196B77"/>
    <w:rsid w:val="00196BB9"/>
    <w:rsid w:val="00196BE0"/>
    <w:rsid w:val="00196C57"/>
    <w:rsid w:val="00196C84"/>
    <w:rsid w:val="00196C87"/>
    <w:rsid w:val="00196EEA"/>
    <w:rsid w:val="00196F81"/>
    <w:rsid w:val="0019703A"/>
    <w:rsid w:val="001970E7"/>
    <w:rsid w:val="001972D2"/>
    <w:rsid w:val="00197327"/>
    <w:rsid w:val="00197635"/>
    <w:rsid w:val="0019789C"/>
    <w:rsid w:val="00197AAC"/>
    <w:rsid w:val="00197AB5"/>
    <w:rsid w:val="00197AC1"/>
    <w:rsid w:val="00197B60"/>
    <w:rsid w:val="00197C2A"/>
    <w:rsid w:val="001A003D"/>
    <w:rsid w:val="001A0263"/>
    <w:rsid w:val="001A02AD"/>
    <w:rsid w:val="001A0327"/>
    <w:rsid w:val="001A0390"/>
    <w:rsid w:val="001A05A0"/>
    <w:rsid w:val="001A0680"/>
    <w:rsid w:val="001A07EE"/>
    <w:rsid w:val="001A086D"/>
    <w:rsid w:val="001A089A"/>
    <w:rsid w:val="001A0AFC"/>
    <w:rsid w:val="001A0B82"/>
    <w:rsid w:val="001A0C39"/>
    <w:rsid w:val="001A0CEF"/>
    <w:rsid w:val="001A0D6D"/>
    <w:rsid w:val="001A0DAC"/>
    <w:rsid w:val="001A0EB0"/>
    <w:rsid w:val="001A0F6C"/>
    <w:rsid w:val="001A0F9B"/>
    <w:rsid w:val="001A0FBF"/>
    <w:rsid w:val="001A0FED"/>
    <w:rsid w:val="001A107A"/>
    <w:rsid w:val="001A1169"/>
    <w:rsid w:val="001A11AE"/>
    <w:rsid w:val="001A11D6"/>
    <w:rsid w:val="001A1223"/>
    <w:rsid w:val="001A12EA"/>
    <w:rsid w:val="001A15A5"/>
    <w:rsid w:val="001A1716"/>
    <w:rsid w:val="001A17D0"/>
    <w:rsid w:val="001A1801"/>
    <w:rsid w:val="001A19CA"/>
    <w:rsid w:val="001A1A85"/>
    <w:rsid w:val="001A1B55"/>
    <w:rsid w:val="001A1C1C"/>
    <w:rsid w:val="001A1C2B"/>
    <w:rsid w:val="001A1C8E"/>
    <w:rsid w:val="001A1D27"/>
    <w:rsid w:val="001A1D75"/>
    <w:rsid w:val="001A1DEB"/>
    <w:rsid w:val="001A1F8F"/>
    <w:rsid w:val="001A2023"/>
    <w:rsid w:val="001A2044"/>
    <w:rsid w:val="001A2068"/>
    <w:rsid w:val="001A21B5"/>
    <w:rsid w:val="001A21D0"/>
    <w:rsid w:val="001A24EF"/>
    <w:rsid w:val="001A2817"/>
    <w:rsid w:val="001A2891"/>
    <w:rsid w:val="001A2A32"/>
    <w:rsid w:val="001A2B39"/>
    <w:rsid w:val="001A2B9C"/>
    <w:rsid w:val="001A2D22"/>
    <w:rsid w:val="001A2D6B"/>
    <w:rsid w:val="001A2E00"/>
    <w:rsid w:val="001A2F0C"/>
    <w:rsid w:val="001A2F28"/>
    <w:rsid w:val="001A3072"/>
    <w:rsid w:val="001A31E4"/>
    <w:rsid w:val="001A32A0"/>
    <w:rsid w:val="001A33DE"/>
    <w:rsid w:val="001A3615"/>
    <w:rsid w:val="001A3793"/>
    <w:rsid w:val="001A3797"/>
    <w:rsid w:val="001A39E5"/>
    <w:rsid w:val="001A3A7B"/>
    <w:rsid w:val="001A3C41"/>
    <w:rsid w:val="001A3FBE"/>
    <w:rsid w:val="001A4075"/>
    <w:rsid w:val="001A417F"/>
    <w:rsid w:val="001A4260"/>
    <w:rsid w:val="001A4467"/>
    <w:rsid w:val="001A44B5"/>
    <w:rsid w:val="001A452A"/>
    <w:rsid w:val="001A4952"/>
    <w:rsid w:val="001A4BA6"/>
    <w:rsid w:val="001A4BC8"/>
    <w:rsid w:val="001A4CC4"/>
    <w:rsid w:val="001A4DE6"/>
    <w:rsid w:val="001A4EDB"/>
    <w:rsid w:val="001A501B"/>
    <w:rsid w:val="001A5131"/>
    <w:rsid w:val="001A51A8"/>
    <w:rsid w:val="001A5218"/>
    <w:rsid w:val="001A54AE"/>
    <w:rsid w:val="001A54E5"/>
    <w:rsid w:val="001A5531"/>
    <w:rsid w:val="001A55A5"/>
    <w:rsid w:val="001A563E"/>
    <w:rsid w:val="001A569F"/>
    <w:rsid w:val="001A5732"/>
    <w:rsid w:val="001A577C"/>
    <w:rsid w:val="001A57C5"/>
    <w:rsid w:val="001A5836"/>
    <w:rsid w:val="001A5838"/>
    <w:rsid w:val="001A5892"/>
    <w:rsid w:val="001A59C5"/>
    <w:rsid w:val="001A5A7A"/>
    <w:rsid w:val="001A5CF5"/>
    <w:rsid w:val="001A5EB3"/>
    <w:rsid w:val="001A5F65"/>
    <w:rsid w:val="001A6252"/>
    <w:rsid w:val="001A6273"/>
    <w:rsid w:val="001A62B2"/>
    <w:rsid w:val="001A64A0"/>
    <w:rsid w:val="001A64E4"/>
    <w:rsid w:val="001A6564"/>
    <w:rsid w:val="001A6755"/>
    <w:rsid w:val="001A678F"/>
    <w:rsid w:val="001A6844"/>
    <w:rsid w:val="001A68AD"/>
    <w:rsid w:val="001A690B"/>
    <w:rsid w:val="001A6B6D"/>
    <w:rsid w:val="001A6CEF"/>
    <w:rsid w:val="001A6D54"/>
    <w:rsid w:val="001A6DCF"/>
    <w:rsid w:val="001A707C"/>
    <w:rsid w:val="001A7137"/>
    <w:rsid w:val="001A713E"/>
    <w:rsid w:val="001A7157"/>
    <w:rsid w:val="001A717D"/>
    <w:rsid w:val="001A72B8"/>
    <w:rsid w:val="001A7354"/>
    <w:rsid w:val="001A7382"/>
    <w:rsid w:val="001A7423"/>
    <w:rsid w:val="001A757F"/>
    <w:rsid w:val="001A77B6"/>
    <w:rsid w:val="001A7817"/>
    <w:rsid w:val="001A7868"/>
    <w:rsid w:val="001A7A97"/>
    <w:rsid w:val="001A7AE6"/>
    <w:rsid w:val="001A7BC3"/>
    <w:rsid w:val="001A7C55"/>
    <w:rsid w:val="001A7CCF"/>
    <w:rsid w:val="001A7DE0"/>
    <w:rsid w:val="001A7E86"/>
    <w:rsid w:val="001B034E"/>
    <w:rsid w:val="001B035C"/>
    <w:rsid w:val="001B0526"/>
    <w:rsid w:val="001B06D7"/>
    <w:rsid w:val="001B097C"/>
    <w:rsid w:val="001B0BD7"/>
    <w:rsid w:val="001B0C63"/>
    <w:rsid w:val="001B0D10"/>
    <w:rsid w:val="001B0DAB"/>
    <w:rsid w:val="001B0EBB"/>
    <w:rsid w:val="001B0F55"/>
    <w:rsid w:val="001B1001"/>
    <w:rsid w:val="001B117C"/>
    <w:rsid w:val="001B139A"/>
    <w:rsid w:val="001B15E1"/>
    <w:rsid w:val="001B1670"/>
    <w:rsid w:val="001B1780"/>
    <w:rsid w:val="001B1788"/>
    <w:rsid w:val="001B18E9"/>
    <w:rsid w:val="001B19CC"/>
    <w:rsid w:val="001B1AC4"/>
    <w:rsid w:val="001B1D07"/>
    <w:rsid w:val="001B1D59"/>
    <w:rsid w:val="001B1E46"/>
    <w:rsid w:val="001B1E90"/>
    <w:rsid w:val="001B1EE0"/>
    <w:rsid w:val="001B1F83"/>
    <w:rsid w:val="001B1F8C"/>
    <w:rsid w:val="001B2002"/>
    <w:rsid w:val="001B20BF"/>
    <w:rsid w:val="001B2105"/>
    <w:rsid w:val="001B2312"/>
    <w:rsid w:val="001B277A"/>
    <w:rsid w:val="001B277E"/>
    <w:rsid w:val="001B2786"/>
    <w:rsid w:val="001B286F"/>
    <w:rsid w:val="001B29B7"/>
    <w:rsid w:val="001B2A23"/>
    <w:rsid w:val="001B2B1C"/>
    <w:rsid w:val="001B2B6D"/>
    <w:rsid w:val="001B2BA7"/>
    <w:rsid w:val="001B2D3A"/>
    <w:rsid w:val="001B2DB0"/>
    <w:rsid w:val="001B2DEB"/>
    <w:rsid w:val="001B2DF8"/>
    <w:rsid w:val="001B2F52"/>
    <w:rsid w:val="001B3071"/>
    <w:rsid w:val="001B3132"/>
    <w:rsid w:val="001B313B"/>
    <w:rsid w:val="001B339C"/>
    <w:rsid w:val="001B3837"/>
    <w:rsid w:val="001B390B"/>
    <w:rsid w:val="001B39E5"/>
    <w:rsid w:val="001B3B7E"/>
    <w:rsid w:val="001B3B85"/>
    <w:rsid w:val="001B3D39"/>
    <w:rsid w:val="001B3DFC"/>
    <w:rsid w:val="001B3F11"/>
    <w:rsid w:val="001B404E"/>
    <w:rsid w:val="001B404F"/>
    <w:rsid w:val="001B40CA"/>
    <w:rsid w:val="001B4266"/>
    <w:rsid w:val="001B42C3"/>
    <w:rsid w:val="001B42FF"/>
    <w:rsid w:val="001B431C"/>
    <w:rsid w:val="001B44EB"/>
    <w:rsid w:val="001B469B"/>
    <w:rsid w:val="001B479C"/>
    <w:rsid w:val="001B47CF"/>
    <w:rsid w:val="001B48CA"/>
    <w:rsid w:val="001B4BCD"/>
    <w:rsid w:val="001B4D76"/>
    <w:rsid w:val="001B4DCB"/>
    <w:rsid w:val="001B4E23"/>
    <w:rsid w:val="001B4E4A"/>
    <w:rsid w:val="001B4EA2"/>
    <w:rsid w:val="001B51BE"/>
    <w:rsid w:val="001B52EA"/>
    <w:rsid w:val="001B5327"/>
    <w:rsid w:val="001B5431"/>
    <w:rsid w:val="001B543D"/>
    <w:rsid w:val="001B548B"/>
    <w:rsid w:val="001B55B2"/>
    <w:rsid w:val="001B5741"/>
    <w:rsid w:val="001B5759"/>
    <w:rsid w:val="001B5826"/>
    <w:rsid w:val="001B5871"/>
    <w:rsid w:val="001B5899"/>
    <w:rsid w:val="001B5A71"/>
    <w:rsid w:val="001B5A75"/>
    <w:rsid w:val="001B5B06"/>
    <w:rsid w:val="001B5B8E"/>
    <w:rsid w:val="001B5BF3"/>
    <w:rsid w:val="001B5BFF"/>
    <w:rsid w:val="001B5C78"/>
    <w:rsid w:val="001B5CE3"/>
    <w:rsid w:val="001B5F11"/>
    <w:rsid w:val="001B5F43"/>
    <w:rsid w:val="001B60CB"/>
    <w:rsid w:val="001B610D"/>
    <w:rsid w:val="001B618A"/>
    <w:rsid w:val="001B61CD"/>
    <w:rsid w:val="001B61ED"/>
    <w:rsid w:val="001B628A"/>
    <w:rsid w:val="001B643D"/>
    <w:rsid w:val="001B645A"/>
    <w:rsid w:val="001B64FF"/>
    <w:rsid w:val="001B65C8"/>
    <w:rsid w:val="001B65F7"/>
    <w:rsid w:val="001B68EE"/>
    <w:rsid w:val="001B6914"/>
    <w:rsid w:val="001B69C2"/>
    <w:rsid w:val="001B69DB"/>
    <w:rsid w:val="001B6C99"/>
    <w:rsid w:val="001B6E63"/>
    <w:rsid w:val="001B6FE8"/>
    <w:rsid w:val="001B7092"/>
    <w:rsid w:val="001B7118"/>
    <w:rsid w:val="001B716C"/>
    <w:rsid w:val="001B71CB"/>
    <w:rsid w:val="001B71DF"/>
    <w:rsid w:val="001B723B"/>
    <w:rsid w:val="001B7592"/>
    <w:rsid w:val="001B7751"/>
    <w:rsid w:val="001B7773"/>
    <w:rsid w:val="001B7787"/>
    <w:rsid w:val="001B77FF"/>
    <w:rsid w:val="001B7830"/>
    <w:rsid w:val="001B7875"/>
    <w:rsid w:val="001B78B1"/>
    <w:rsid w:val="001B7902"/>
    <w:rsid w:val="001B7907"/>
    <w:rsid w:val="001B7AB9"/>
    <w:rsid w:val="001B7DBD"/>
    <w:rsid w:val="001B7E35"/>
    <w:rsid w:val="001B7EE9"/>
    <w:rsid w:val="001C02B7"/>
    <w:rsid w:val="001C02D9"/>
    <w:rsid w:val="001C0431"/>
    <w:rsid w:val="001C059B"/>
    <w:rsid w:val="001C0731"/>
    <w:rsid w:val="001C0785"/>
    <w:rsid w:val="001C07AF"/>
    <w:rsid w:val="001C07C5"/>
    <w:rsid w:val="001C0948"/>
    <w:rsid w:val="001C0B33"/>
    <w:rsid w:val="001C0B66"/>
    <w:rsid w:val="001C0BB6"/>
    <w:rsid w:val="001C0DC5"/>
    <w:rsid w:val="001C0EB1"/>
    <w:rsid w:val="001C0F06"/>
    <w:rsid w:val="001C101E"/>
    <w:rsid w:val="001C10EA"/>
    <w:rsid w:val="001C116D"/>
    <w:rsid w:val="001C11FA"/>
    <w:rsid w:val="001C1245"/>
    <w:rsid w:val="001C1644"/>
    <w:rsid w:val="001C1857"/>
    <w:rsid w:val="001C1A19"/>
    <w:rsid w:val="001C1C96"/>
    <w:rsid w:val="001C1F36"/>
    <w:rsid w:val="001C1F8A"/>
    <w:rsid w:val="001C1FAF"/>
    <w:rsid w:val="001C202C"/>
    <w:rsid w:val="001C23A0"/>
    <w:rsid w:val="001C23C1"/>
    <w:rsid w:val="001C23D7"/>
    <w:rsid w:val="001C247B"/>
    <w:rsid w:val="001C2605"/>
    <w:rsid w:val="001C260B"/>
    <w:rsid w:val="001C2A67"/>
    <w:rsid w:val="001C2B0E"/>
    <w:rsid w:val="001C2B14"/>
    <w:rsid w:val="001C2B6B"/>
    <w:rsid w:val="001C2CEC"/>
    <w:rsid w:val="001C2D18"/>
    <w:rsid w:val="001C332E"/>
    <w:rsid w:val="001C346A"/>
    <w:rsid w:val="001C34AF"/>
    <w:rsid w:val="001C34D9"/>
    <w:rsid w:val="001C358D"/>
    <w:rsid w:val="001C3681"/>
    <w:rsid w:val="001C36D8"/>
    <w:rsid w:val="001C3779"/>
    <w:rsid w:val="001C37DB"/>
    <w:rsid w:val="001C3A94"/>
    <w:rsid w:val="001C3B44"/>
    <w:rsid w:val="001C3B87"/>
    <w:rsid w:val="001C3C9C"/>
    <w:rsid w:val="001C3E7F"/>
    <w:rsid w:val="001C40A0"/>
    <w:rsid w:val="001C40AB"/>
    <w:rsid w:val="001C40FF"/>
    <w:rsid w:val="001C42C4"/>
    <w:rsid w:val="001C43D7"/>
    <w:rsid w:val="001C4461"/>
    <w:rsid w:val="001C4620"/>
    <w:rsid w:val="001C46E7"/>
    <w:rsid w:val="001C4787"/>
    <w:rsid w:val="001C48B4"/>
    <w:rsid w:val="001C4924"/>
    <w:rsid w:val="001C4952"/>
    <w:rsid w:val="001C4964"/>
    <w:rsid w:val="001C4984"/>
    <w:rsid w:val="001C4A1C"/>
    <w:rsid w:val="001C4A8C"/>
    <w:rsid w:val="001C4AAB"/>
    <w:rsid w:val="001C4ABD"/>
    <w:rsid w:val="001C4B0D"/>
    <w:rsid w:val="001C4B59"/>
    <w:rsid w:val="001C4BC7"/>
    <w:rsid w:val="001C4D52"/>
    <w:rsid w:val="001C4D68"/>
    <w:rsid w:val="001C4E78"/>
    <w:rsid w:val="001C4F7F"/>
    <w:rsid w:val="001C50B9"/>
    <w:rsid w:val="001C50E4"/>
    <w:rsid w:val="001C50EB"/>
    <w:rsid w:val="001C533A"/>
    <w:rsid w:val="001C53C7"/>
    <w:rsid w:val="001C540F"/>
    <w:rsid w:val="001C5418"/>
    <w:rsid w:val="001C550E"/>
    <w:rsid w:val="001C550F"/>
    <w:rsid w:val="001C577D"/>
    <w:rsid w:val="001C5802"/>
    <w:rsid w:val="001C5899"/>
    <w:rsid w:val="001C5A8E"/>
    <w:rsid w:val="001C5CDF"/>
    <w:rsid w:val="001C5DA7"/>
    <w:rsid w:val="001C5DDC"/>
    <w:rsid w:val="001C5F34"/>
    <w:rsid w:val="001C5F63"/>
    <w:rsid w:val="001C5FB2"/>
    <w:rsid w:val="001C6006"/>
    <w:rsid w:val="001C6018"/>
    <w:rsid w:val="001C6170"/>
    <w:rsid w:val="001C6286"/>
    <w:rsid w:val="001C634D"/>
    <w:rsid w:val="001C6585"/>
    <w:rsid w:val="001C6708"/>
    <w:rsid w:val="001C6888"/>
    <w:rsid w:val="001C6AE0"/>
    <w:rsid w:val="001C6EC0"/>
    <w:rsid w:val="001C6F58"/>
    <w:rsid w:val="001C6F76"/>
    <w:rsid w:val="001C7169"/>
    <w:rsid w:val="001C72C1"/>
    <w:rsid w:val="001C74FC"/>
    <w:rsid w:val="001C7526"/>
    <w:rsid w:val="001C75B4"/>
    <w:rsid w:val="001C7774"/>
    <w:rsid w:val="001C779E"/>
    <w:rsid w:val="001C792F"/>
    <w:rsid w:val="001C79E1"/>
    <w:rsid w:val="001C7B7C"/>
    <w:rsid w:val="001C7BE4"/>
    <w:rsid w:val="001C7CE6"/>
    <w:rsid w:val="001C7DC6"/>
    <w:rsid w:val="001C7E27"/>
    <w:rsid w:val="001C7E3F"/>
    <w:rsid w:val="001C7F94"/>
    <w:rsid w:val="001C7FC4"/>
    <w:rsid w:val="001D0000"/>
    <w:rsid w:val="001D0145"/>
    <w:rsid w:val="001D01B0"/>
    <w:rsid w:val="001D01EC"/>
    <w:rsid w:val="001D03D7"/>
    <w:rsid w:val="001D03FC"/>
    <w:rsid w:val="001D046F"/>
    <w:rsid w:val="001D0593"/>
    <w:rsid w:val="001D06C1"/>
    <w:rsid w:val="001D07FF"/>
    <w:rsid w:val="001D0816"/>
    <w:rsid w:val="001D0905"/>
    <w:rsid w:val="001D0A77"/>
    <w:rsid w:val="001D0B52"/>
    <w:rsid w:val="001D0CEC"/>
    <w:rsid w:val="001D0CF6"/>
    <w:rsid w:val="001D0D02"/>
    <w:rsid w:val="001D0EE9"/>
    <w:rsid w:val="001D0FF7"/>
    <w:rsid w:val="001D1058"/>
    <w:rsid w:val="001D1182"/>
    <w:rsid w:val="001D11CD"/>
    <w:rsid w:val="001D1392"/>
    <w:rsid w:val="001D13E3"/>
    <w:rsid w:val="001D1413"/>
    <w:rsid w:val="001D1472"/>
    <w:rsid w:val="001D14D4"/>
    <w:rsid w:val="001D15D8"/>
    <w:rsid w:val="001D16D9"/>
    <w:rsid w:val="001D16F1"/>
    <w:rsid w:val="001D171E"/>
    <w:rsid w:val="001D17A9"/>
    <w:rsid w:val="001D17C8"/>
    <w:rsid w:val="001D1802"/>
    <w:rsid w:val="001D1A4A"/>
    <w:rsid w:val="001D1A9F"/>
    <w:rsid w:val="001D1BDC"/>
    <w:rsid w:val="001D1CCC"/>
    <w:rsid w:val="001D1D4F"/>
    <w:rsid w:val="001D1E23"/>
    <w:rsid w:val="001D1EF4"/>
    <w:rsid w:val="001D1F31"/>
    <w:rsid w:val="001D21BC"/>
    <w:rsid w:val="001D22B9"/>
    <w:rsid w:val="001D23D5"/>
    <w:rsid w:val="001D24C0"/>
    <w:rsid w:val="001D25DF"/>
    <w:rsid w:val="001D27C1"/>
    <w:rsid w:val="001D289F"/>
    <w:rsid w:val="001D28D5"/>
    <w:rsid w:val="001D292E"/>
    <w:rsid w:val="001D29ED"/>
    <w:rsid w:val="001D2BD1"/>
    <w:rsid w:val="001D2C62"/>
    <w:rsid w:val="001D2D88"/>
    <w:rsid w:val="001D2F22"/>
    <w:rsid w:val="001D2F49"/>
    <w:rsid w:val="001D2F5E"/>
    <w:rsid w:val="001D3025"/>
    <w:rsid w:val="001D3141"/>
    <w:rsid w:val="001D3281"/>
    <w:rsid w:val="001D32BC"/>
    <w:rsid w:val="001D32E2"/>
    <w:rsid w:val="001D32E5"/>
    <w:rsid w:val="001D331D"/>
    <w:rsid w:val="001D3533"/>
    <w:rsid w:val="001D361A"/>
    <w:rsid w:val="001D366D"/>
    <w:rsid w:val="001D3679"/>
    <w:rsid w:val="001D36CF"/>
    <w:rsid w:val="001D3755"/>
    <w:rsid w:val="001D391B"/>
    <w:rsid w:val="001D39B8"/>
    <w:rsid w:val="001D3A74"/>
    <w:rsid w:val="001D3A91"/>
    <w:rsid w:val="001D3B0E"/>
    <w:rsid w:val="001D3B22"/>
    <w:rsid w:val="001D3E08"/>
    <w:rsid w:val="001D3EF3"/>
    <w:rsid w:val="001D4003"/>
    <w:rsid w:val="001D4100"/>
    <w:rsid w:val="001D4188"/>
    <w:rsid w:val="001D425E"/>
    <w:rsid w:val="001D4421"/>
    <w:rsid w:val="001D4535"/>
    <w:rsid w:val="001D465C"/>
    <w:rsid w:val="001D46B5"/>
    <w:rsid w:val="001D47F3"/>
    <w:rsid w:val="001D4801"/>
    <w:rsid w:val="001D4968"/>
    <w:rsid w:val="001D499A"/>
    <w:rsid w:val="001D4A46"/>
    <w:rsid w:val="001D4A9F"/>
    <w:rsid w:val="001D4AFB"/>
    <w:rsid w:val="001D4B1E"/>
    <w:rsid w:val="001D4C51"/>
    <w:rsid w:val="001D4D29"/>
    <w:rsid w:val="001D4DEE"/>
    <w:rsid w:val="001D4E4A"/>
    <w:rsid w:val="001D4E63"/>
    <w:rsid w:val="001D4FC8"/>
    <w:rsid w:val="001D5022"/>
    <w:rsid w:val="001D50B0"/>
    <w:rsid w:val="001D519E"/>
    <w:rsid w:val="001D537A"/>
    <w:rsid w:val="001D5925"/>
    <w:rsid w:val="001D593C"/>
    <w:rsid w:val="001D5D80"/>
    <w:rsid w:val="001D5DCE"/>
    <w:rsid w:val="001D5DD5"/>
    <w:rsid w:val="001D5FB4"/>
    <w:rsid w:val="001D60F8"/>
    <w:rsid w:val="001D61FA"/>
    <w:rsid w:val="001D623C"/>
    <w:rsid w:val="001D6307"/>
    <w:rsid w:val="001D6429"/>
    <w:rsid w:val="001D670C"/>
    <w:rsid w:val="001D67F5"/>
    <w:rsid w:val="001D68C4"/>
    <w:rsid w:val="001D696E"/>
    <w:rsid w:val="001D698A"/>
    <w:rsid w:val="001D699B"/>
    <w:rsid w:val="001D6A63"/>
    <w:rsid w:val="001D6AB2"/>
    <w:rsid w:val="001D6B2E"/>
    <w:rsid w:val="001D6C58"/>
    <w:rsid w:val="001D6EE8"/>
    <w:rsid w:val="001D6FDF"/>
    <w:rsid w:val="001D6FE8"/>
    <w:rsid w:val="001D703E"/>
    <w:rsid w:val="001D7073"/>
    <w:rsid w:val="001D70D1"/>
    <w:rsid w:val="001D713F"/>
    <w:rsid w:val="001D714F"/>
    <w:rsid w:val="001D7158"/>
    <w:rsid w:val="001D7267"/>
    <w:rsid w:val="001D72B6"/>
    <w:rsid w:val="001D7377"/>
    <w:rsid w:val="001D74CC"/>
    <w:rsid w:val="001D7554"/>
    <w:rsid w:val="001D7612"/>
    <w:rsid w:val="001D7659"/>
    <w:rsid w:val="001D7A88"/>
    <w:rsid w:val="001D7B10"/>
    <w:rsid w:val="001D7B40"/>
    <w:rsid w:val="001D7B4F"/>
    <w:rsid w:val="001D7C0D"/>
    <w:rsid w:val="001D7C77"/>
    <w:rsid w:val="001D7DEF"/>
    <w:rsid w:val="001D7E28"/>
    <w:rsid w:val="001D7E39"/>
    <w:rsid w:val="001D7ED7"/>
    <w:rsid w:val="001D7EFD"/>
    <w:rsid w:val="001E0013"/>
    <w:rsid w:val="001E01EE"/>
    <w:rsid w:val="001E0215"/>
    <w:rsid w:val="001E0328"/>
    <w:rsid w:val="001E038D"/>
    <w:rsid w:val="001E0398"/>
    <w:rsid w:val="001E042A"/>
    <w:rsid w:val="001E0640"/>
    <w:rsid w:val="001E0643"/>
    <w:rsid w:val="001E0681"/>
    <w:rsid w:val="001E06BA"/>
    <w:rsid w:val="001E06C2"/>
    <w:rsid w:val="001E0AE0"/>
    <w:rsid w:val="001E0AE1"/>
    <w:rsid w:val="001E0C5C"/>
    <w:rsid w:val="001E0CA0"/>
    <w:rsid w:val="001E0D4F"/>
    <w:rsid w:val="001E0E2A"/>
    <w:rsid w:val="001E0F1E"/>
    <w:rsid w:val="001E10C2"/>
    <w:rsid w:val="001E1209"/>
    <w:rsid w:val="001E1271"/>
    <w:rsid w:val="001E12CC"/>
    <w:rsid w:val="001E13F5"/>
    <w:rsid w:val="001E152F"/>
    <w:rsid w:val="001E1595"/>
    <w:rsid w:val="001E15BA"/>
    <w:rsid w:val="001E1735"/>
    <w:rsid w:val="001E1862"/>
    <w:rsid w:val="001E18C8"/>
    <w:rsid w:val="001E1A1F"/>
    <w:rsid w:val="001E1C88"/>
    <w:rsid w:val="001E1EA2"/>
    <w:rsid w:val="001E2495"/>
    <w:rsid w:val="001E2588"/>
    <w:rsid w:val="001E25B1"/>
    <w:rsid w:val="001E2614"/>
    <w:rsid w:val="001E2642"/>
    <w:rsid w:val="001E2742"/>
    <w:rsid w:val="001E27F2"/>
    <w:rsid w:val="001E2800"/>
    <w:rsid w:val="001E289D"/>
    <w:rsid w:val="001E28B7"/>
    <w:rsid w:val="001E29B0"/>
    <w:rsid w:val="001E29B4"/>
    <w:rsid w:val="001E29CC"/>
    <w:rsid w:val="001E2A6D"/>
    <w:rsid w:val="001E2AB5"/>
    <w:rsid w:val="001E2B9E"/>
    <w:rsid w:val="001E2C87"/>
    <w:rsid w:val="001E2D2F"/>
    <w:rsid w:val="001E2D6B"/>
    <w:rsid w:val="001E2E72"/>
    <w:rsid w:val="001E2F4C"/>
    <w:rsid w:val="001E3046"/>
    <w:rsid w:val="001E3127"/>
    <w:rsid w:val="001E3169"/>
    <w:rsid w:val="001E3282"/>
    <w:rsid w:val="001E341F"/>
    <w:rsid w:val="001E3607"/>
    <w:rsid w:val="001E3698"/>
    <w:rsid w:val="001E377E"/>
    <w:rsid w:val="001E37DE"/>
    <w:rsid w:val="001E3816"/>
    <w:rsid w:val="001E38AB"/>
    <w:rsid w:val="001E398C"/>
    <w:rsid w:val="001E3ADC"/>
    <w:rsid w:val="001E3B50"/>
    <w:rsid w:val="001E3C3F"/>
    <w:rsid w:val="001E3CD5"/>
    <w:rsid w:val="001E3DDF"/>
    <w:rsid w:val="001E42E5"/>
    <w:rsid w:val="001E4480"/>
    <w:rsid w:val="001E4722"/>
    <w:rsid w:val="001E4840"/>
    <w:rsid w:val="001E4A03"/>
    <w:rsid w:val="001E4B0A"/>
    <w:rsid w:val="001E4B3C"/>
    <w:rsid w:val="001E4B72"/>
    <w:rsid w:val="001E4DB7"/>
    <w:rsid w:val="001E50E2"/>
    <w:rsid w:val="001E51A7"/>
    <w:rsid w:val="001E5446"/>
    <w:rsid w:val="001E5548"/>
    <w:rsid w:val="001E58D4"/>
    <w:rsid w:val="001E5960"/>
    <w:rsid w:val="001E5ACF"/>
    <w:rsid w:val="001E5B09"/>
    <w:rsid w:val="001E5EA5"/>
    <w:rsid w:val="001E5EB0"/>
    <w:rsid w:val="001E60CD"/>
    <w:rsid w:val="001E62BE"/>
    <w:rsid w:val="001E6304"/>
    <w:rsid w:val="001E6435"/>
    <w:rsid w:val="001E66BA"/>
    <w:rsid w:val="001E6774"/>
    <w:rsid w:val="001E6935"/>
    <w:rsid w:val="001E6989"/>
    <w:rsid w:val="001E6B07"/>
    <w:rsid w:val="001E6B5A"/>
    <w:rsid w:val="001E6BE3"/>
    <w:rsid w:val="001E6CD8"/>
    <w:rsid w:val="001E6D14"/>
    <w:rsid w:val="001E6D6F"/>
    <w:rsid w:val="001E6DE6"/>
    <w:rsid w:val="001E6E07"/>
    <w:rsid w:val="001E6E59"/>
    <w:rsid w:val="001E6E5A"/>
    <w:rsid w:val="001E717E"/>
    <w:rsid w:val="001E71E0"/>
    <w:rsid w:val="001E71FC"/>
    <w:rsid w:val="001E782B"/>
    <w:rsid w:val="001E79FE"/>
    <w:rsid w:val="001E7AE2"/>
    <w:rsid w:val="001E7B92"/>
    <w:rsid w:val="001E7D5A"/>
    <w:rsid w:val="001E7DF2"/>
    <w:rsid w:val="001E7EAC"/>
    <w:rsid w:val="001F0150"/>
    <w:rsid w:val="001F0306"/>
    <w:rsid w:val="001F0465"/>
    <w:rsid w:val="001F0485"/>
    <w:rsid w:val="001F04AD"/>
    <w:rsid w:val="001F062D"/>
    <w:rsid w:val="001F06FE"/>
    <w:rsid w:val="001F0717"/>
    <w:rsid w:val="001F0763"/>
    <w:rsid w:val="001F085E"/>
    <w:rsid w:val="001F095F"/>
    <w:rsid w:val="001F09D7"/>
    <w:rsid w:val="001F0C13"/>
    <w:rsid w:val="001F0DD0"/>
    <w:rsid w:val="001F0DDA"/>
    <w:rsid w:val="001F0E30"/>
    <w:rsid w:val="001F0E57"/>
    <w:rsid w:val="001F0E7A"/>
    <w:rsid w:val="001F0ECA"/>
    <w:rsid w:val="001F0EE8"/>
    <w:rsid w:val="001F0F2E"/>
    <w:rsid w:val="001F113F"/>
    <w:rsid w:val="001F118C"/>
    <w:rsid w:val="001F122F"/>
    <w:rsid w:val="001F1240"/>
    <w:rsid w:val="001F141C"/>
    <w:rsid w:val="001F1536"/>
    <w:rsid w:val="001F1546"/>
    <w:rsid w:val="001F165F"/>
    <w:rsid w:val="001F16BB"/>
    <w:rsid w:val="001F172F"/>
    <w:rsid w:val="001F17F0"/>
    <w:rsid w:val="001F190B"/>
    <w:rsid w:val="001F1A44"/>
    <w:rsid w:val="001F1B27"/>
    <w:rsid w:val="001F1D49"/>
    <w:rsid w:val="001F1ED5"/>
    <w:rsid w:val="001F2140"/>
    <w:rsid w:val="001F2215"/>
    <w:rsid w:val="001F22E9"/>
    <w:rsid w:val="001F22F2"/>
    <w:rsid w:val="001F2371"/>
    <w:rsid w:val="001F256C"/>
    <w:rsid w:val="001F25E1"/>
    <w:rsid w:val="001F270C"/>
    <w:rsid w:val="001F2710"/>
    <w:rsid w:val="001F273B"/>
    <w:rsid w:val="001F2964"/>
    <w:rsid w:val="001F2AB2"/>
    <w:rsid w:val="001F2CA3"/>
    <w:rsid w:val="001F2E81"/>
    <w:rsid w:val="001F2EF1"/>
    <w:rsid w:val="001F2FEF"/>
    <w:rsid w:val="001F30B3"/>
    <w:rsid w:val="001F30BE"/>
    <w:rsid w:val="001F30FC"/>
    <w:rsid w:val="001F314D"/>
    <w:rsid w:val="001F322D"/>
    <w:rsid w:val="001F34A0"/>
    <w:rsid w:val="001F3577"/>
    <w:rsid w:val="001F3578"/>
    <w:rsid w:val="001F3614"/>
    <w:rsid w:val="001F3812"/>
    <w:rsid w:val="001F382F"/>
    <w:rsid w:val="001F386D"/>
    <w:rsid w:val="001F3905"/>
    <w:rsid w:val="001F39CD"/>
    <w:rsid w:val="001F39DE"/>
    <w:rsid w:val="001F3BD6"/>
    <w:rsid w:val="001F3C4F"/>
    <w:rsid w:val="001F3DDA"/>
    <w:rsid w:val="001F40A8"/>
    <w:rsid w:val="001F4141"/>
    <w:rsid w:val="001F4170"/>
    <w:rsid w:val="001F4230"/>
    <w:rsid w:val="001F4282"/>
    <w:rsid w:val="001F43D9"/>
    <w:rsid w:val="001F4511"/>
    <w:rsid w:val="001F4581"/>
    <w:rsid w:val="001F46EA"/>
    <w:rsid w:val="001F477D"/>
    <w:rsid w:val="001F478B"/>
    <w:rsid w:val="001F4974"/>
    <w:rsid w:val="001F4A44"/>
    <w:rsid w:val="001F4B25"/>
    <w:rsid w:val="001F4C22"/>
    <w:rsid w:val="001F4C28"/>
    <w:rsid w:val="001F4C82"/>
    <w:rsid w:val="001F4C84"/>
    <w:rsid w:val="001F4CD7"/>
    <w:rsid w:val="001F4EAB"/>
    <w:rsid w:val="001F4FB0"/>
    <w:rsid w:val="001F4FD6"/>
    <w:rsid w:val="001F501A"/>
    <w:rsid w:val="001F5101"/>
    <w:rsid w:val="001F511F"/>
    <w:rsid w:val="001F523B"/>
    <w:rsid w:val="001F526D"/>
    <w:rsid w:val="001F52CF"/>
    <w:rsid w:val="001F536B"/>
    <w:rsid w:val="001F5443"/>
    <w:rsid w:val="001F5465"/>
    <w:rsid w:val="001F5534"/>
    <w:rsid w:val="001F5567"/>
    <w:rsid w:val="001F5738"/>
    <w:rsid w:val="001F5739"/>
    <w:rsid w:val="001F5947"/>
    <w:rsid w:val="001F59FA"/>
    <w:rsid w:val="001F5BED"/>
    <w:rsid w:val="001F5D6C"/>
    <w:rsid w:val="001F5E67"/>
    <w:rsid w:val="001F5E93"/>
    <w:rsid w:val="001F60A6"/>
    <w:rsid w:val="001F611A"/>
    <w:rsid w:val="001F619E"/>
    <w:rsid w:val="001F6295"/>
    <w:rsid w:val="001F62F9"/>
    <w:rsid w:val="001F6430"/>
    <w:rsid w:val="001F645E"/>
    <w:rsid w:val="001F65BC"/>
    <w:rsid w:val="001F66AE"/>
    <w:rsid w:val="001F6895"/>
    <w:rsid w:val="001F69EB"/>
    <w:rsid w:val="001F6A84"/>
    <w:rsid w:val="001F6B8D"/>
    <w:rsid w:val="001F6C4C"/>
    <w:rsid w:val="001F6D1E"/>
    <w:rsid w:val="001F6D3B"/>
    <w:rsid w:val="001F6E24"/>
    <w:rsid w:val="001F70C4"/>
    <w:rsid w:val="001F72C8"/>
    <w:rsid w:val="001F7323"/>
    <w:rsid w:val="001F758A"/>
    <w:rsid w:val="001F768F"/>
    <w:rsid w:val="001F782E"/>
    <w:rsid w:val="001F7839"/>
    <w:rsid w:val="001F798C"/>
    <w:rsid w:val="001F79F0"/>
    <w:rsid w:val="001F7C2E"/>
    <w:rsid w:val="001F7C69"/>
    <w:rsid w:val="001F7E76"/>
    <w:rsid w:val="001F7EA5"/>
    <w:rsid w:val="0020006C"/>
    <w:rsid w:val="00200118"/>
    <w:rsid w:val="002002B6"/>
    <w:rsid w:val="00200427"/>
    <w:rsid w:val="002006DE"/>
    <w:rsid w:val="00200766"/>
    <w:rsid w:val="002007B0"/>
    <w:rsid w:val="002007B8"/>
    <w:rsid w:val="00200813"/>
    <w:rsid w:val="0020094D"/>
    <w:rsid w:val="00200955"/>
    <w:rsid w:val="00200A50"/>
    <w:rsid w:val="00200A5F"/>
    <w:rsid w:val="00200A94"/>
    <w:rsid w:val="00200BAE"/>
    <w:rsid w:val="00200CC9"/>
    <w:rsid w:val="00200CD4"/>
    <w:rsid w:val="00200F30"/>
    <w:rsid w:val="002010A9"/>
    <w:rsid w:val="002010B0"/>
    <w:rsid w:val="002010B6"/>
    <w:rsid w:val="002010F0"/>
    <w:rsid w:val="002011BE"/>
    <w:rsid w:val="002011F6"/>
    <w:rsid w:val="00201273"/>
    <w:rsid w:val="00201292"/>
    <w:rsid w:val="002012CB"/>
    <w:rsid w:val="0020133B"/>
    <w:rsid w:val="0020144A"/>
    <w:rsid w:val="0020144F"/>
    <w:rsid w:val="002014AD"/>
    <w:rsid w:val="002016DB"/>
    <w:rsid w:val="00201921"/>
    <w:rsid w:val="00201A2B"/>
    <w:rsid w:val="00201CE9"/>
    <w:rsid w:val="00201D20"/>
    <w:rsid w:val="00201DE6"/>
    <w:rsid w:val="00201ED5"/>
    <w:rsid w:val="00201F3A"/>
    <w:rsid w:val="00201FA8"/>
    <w:rsid w:val="00202037"/>
    <w:rsid w:val="0020226F"/>
    <w:rsid w:val="002022F3"/>
    <w:rsid w:val="002023B8"/>
    <w:rsid w:val="00202569"/>
    <w:rsid w:val="00202600"/>
    <w:rsid w:val="00202C09"/>
    <w:rsid w:val="00202CCA"/>
    <w:rsid w:val="00202CFE"/>
    <w:rsid w:val="00202D24"/>
    <w:rsid w:val="00202E45"/>
    <w:rsid w:val="00202F37"/>
    <w:rsid w:val="00202F49"/>
    <w:rsid w:val="0020305C"/>
    <w:rsid w:val="002031E7"/>
    <w:rsid w:val="002032ED"/>
    <w:rsid w:val="00203418"/>
    <w:rsid w:val="00203514"/>
    <w:rsid w:val="00203787"/>
    <w:rsid w:val="002039B3"/>
    <w:rsid w:val="00203A66"/>
    <w:rsid w:val="00203B74"/>
    <w:rsid w:val="00203CA4"/>
    <w:rsid w:val="00203D50"/>
    <w:rsid w:val="00203D93"/>
    <w:rsid w:val="00203DB8"/>
    <w:rsid w:val="00203E0F"/>
    <w:rsid w:val="00203EA3"/>
    <w:rsid w:val="00203ECB"/>
    <w:rsid w:val="00203F8F"/>
    <w:rsid w:val="0020404F"/>
    <w:rsid w:val="00204095"/>
    <w:rsid w:val="002040F5"/>
    <w:rsid w:val="0020422F"/>
    <w:rsid w:val="00204396"/>
    <w:rsid w:val="0020447C"/>
    <w:rsid w:val="00204562"/>
    <w:rsid w:val="002045F7"/>
    <w:rsid w:val="00204631"/>
    <w:rsid w:val="002046F6"/>
    <w:rsid w:val="0020477F"/>
    <w:rsid w:val="00204789"/>
    <w:rsid w:val="00204838"/>
    <w:rsid w:val="00204AAF"/>
    <w:rsid w:val="00204AD4"/>
    <w:rsid w:val="00204AEB"/>
    <w:rsid w:val="00204AF7"/>
    <w:rsid w:val="00204C49"/>
    <w:rsid w:val="00204E65"/>
    <w:rsid w:val="0020507D"/>
    <w:rsid w:val="00205282"/>
    <w:rsid w:val="002052CD"/>
    <w:rsid w:val="002052FB"/>
    <w:rsid w:val="002054FB"/>
    <w:rsid w:val="00205523"/>
    <w:rsid w:val="002055D6"/>
    <w:rsid w:val="0020587D"/>
    <w:rsid w:val="002058D8"/>
    <w:rsid w:val="00205964"/>
    <w:rsid w:val="00205AA1"/>
    <w:rsid w:val="00205B5D"/>
    <w:rsid w:val="00205B70"/>
    <w:rsid w:val="00205B7C"/>
    <w:rsid w:val="00205BC2"/>
    <w:rsid w:val="00205EB6"/>
    <w:rsid w:val="00205ED3"/>
    <w:rsid w:val="00205FF6"/>
    <w:rsid w:val="002060B1"/>
    <w:rsid w:val="002060DD"/>
    <w:rsid w:val="00206124"/>
    <w:rsid w:val="002061F8"/>
    <w:rsid w:val="00206389"/>
    <w:rsid w:val="002064F0"/>
    <w:rsid w:val="002065E7"/>
    <w:rsid w:val="002065F9"/>
    <w:rsid w:val="00206673"/>
    <w:rsid w:val="00206687"/>
    <w:rsid w:val="002066A9"/>
    <w:rsid w:val="00206702"/>
    <w:rsid w:val="00206778"/>
    <w:rsid w:val="00206894"/>
    <w:rsid w:val="0020692C"/>
    <w:rsid w:val="00206A5F"/>
    <w:rsid w:val="00206C2C"/>
    <w:rsid w:val="00206D1A"/>
    <w:rsid w:val="00206D29"/>
    <w:rsid w:val="00206DA2"/>
    <w:rsid w:val="002071C1"/>
    <w:rsid w:val="00207392"/>
    <w:rsid w:val="0020742F"/>
    <w:rsid w:val="00207551"/>
    <w:rsid w:val="002075B6"/>
    <w:rsid w:val="00207612"/>
    <w:rsid w:val="0020762E"/>
    <w:rsid w:val="00207788"/>
    <w:rsid w:val="002077AD"/>
    <w:rsid w:val="0020781E"/>
    <w:rsid w:val="00207906"/>
    <w:rsid w:val="00207A0B"/>
    <w:rsid w:val="00207AD6"/>
    <w:rsid w:val="00207B13"/>
    <w:rsid w:val="00207C00"/>
    <w:rsid w:val="00207CE1"/>
    <w:rsid w:val="00207D23"/>
    <w:rsid w:val="00207E0F"/>
    <w:rsid w:val="00207F44"/>
    <w:rsid w:val="002100D6"/>
    <w:rsid w:val="002101AE"/>
    <w:rsid w:val="00210350"/>
    <w:rsid w:val="0021050A"/>
    <w:rsid w:val="00210939"/>
    <w:rsid w:val="002109CC"/>
    <w:rsid w:val="00210A8F"/>
    <w:rsid w:val="00210C62"/>
    <w:rsid w:val="00210C6F"/>
    <w:rsid w:val="00210C94"/>
    <w:rsid w:val="00210CD5"/>
    <w:rsid w:val="00210CE6"/>
    <w:rsid w:val="00210D26"/>
    <w:rsid w:val="00210D6B"/>
    <w:rsid w:val="00210E7A"/>
    <w:rsid w:val="00210EC5"/>
    <w:rsid w:val="00210F65"/>
    <w:rsid w:val="00210F7D"/>
    <w:rsid w:val="00210FF5"/>
    <w:rsid w:val="00211072"/>
    <w:rsid w:val="002110E1"/>
    <w:rsid w:val="0021125D"/>
    <w:rsid w:val="002112CB"/>
    <w:rsid w:val="00211405"/>
    <w:rsid w:val="0021160F"/>
    <w:rsid w:val="002116B4"/>
    <w:rsid w:val="00211A35"/>
    <w:rsid w:val="00211A5F"/>
    <w:rsid w:val="00211A69"/>
    <w:rsid w:val="00211D1D"/>
    <w:rsid w:val="00211D9F"/>
    <w:rsid w:val="00211E39"/>
    <w:rsid w:val="00211EFC"/>
    <w:rsid w:val="00211F2F"/>
    <w:rsid w:val="0021213F"/>
    <w:rsid w:val="00212181"/>
    <w:rsid w:val="00212204"/>
    <w:rsid w:val="00212490"/>
    <w:rsid w:val="00212883"/>
    <w:rsid w:val="002128E9"/>
    <w:rsid w:val="00212A01"/>
    <w:rsid w:val="00212A55"/>
    <w:rsid w:val="00212DA8"/>
    <w:rsid w:val="00212DFD"/>
    <w:rsid w:val="00212EB0"/>
    <w:rsid w:val="0021313D"/>
    <w:rsid w:val="0021316D"/>
    <w:rsid w:val="002131CD"/>
    <w:rsid w:val="00213227"/>
    <w:rsid w:val="002132B7"/>
    <w:rsid w:val="002132FD"/>
    <w:rsid w:val="00213438"/>
    <w:rsid w:val="002134D5"/>
    <w:rsid w:val="0021355C"/>
    <w:rsid w:val="00213660"/>
    <w:rsid w:val="002136CB"/>
    <w:rsid w:val="00213B33"/>
    <w:rsid w:val="00213BAA"/>
    <w:rsid w:val="00213BD1"/>
    <w:rsid w:val="00213CA0"/>
    <w:rsid w:val="00213D96"/>
    <w:rsid w:val="00213E7D"/>
    <w:rsid w:val="00213F53"/>
    <w:rsid w:val="0021415D"/>
    <w:rsid w:val="0021431F"/>
    <w:rsid w:val="00214407"/>
    <w:rsid w:val="002145E3"/>
    <w:rsid w:val="002147E5"/>
    <w:rsid w:val="002148CC"/>
    <w:rsid w:val="002149A9"/>
    <w:rsid w:val="002149B4"/>
    <w:rsid w:val="00214A39"/>
    <w:rsid w:val="00214BE6"/>
    <w:rsid w:val="00214D5E"/>
    <w:rsid w:val="00214E00"/>
    <w:rsid w:val="0021501D"/>
    <w:rsid w:val="00215260"/>
    <w:rsid w:val="002153F8"/>
    <w:rsid w:val="0021549C"/>
    <w:rsid w:val="002154FD"/>
    <w:rsid w:val="002155A7"/>
    <w:rsid w:val="0021561D"/>
    <w:rsid w:val="00215656"/>
    <w:rsid w:val="002157BA"/>
    <w:rsid w:val="00215956"/>
    <w:rsid w:val="00215A33"/>
    <w:rsid w:val="00215AA8"/>
    <w:rsid w:val="00215CF4"/>
    <w:rsid w:val="00215D13"/>
    <w:rsid w:val="00215D1E"/>
    <w:rsid w:val="00215E9C"/>
    <w:rsid w:val="00215F3D"/>
    <w:rsid w:val="00215F7A"/>
    <w:rsid w:val="00216017"/>
    <w:rsid w:val="00216072"/>
    <w:rsid w:val="00216158"/>
    <w:rsid w:val="00216169"/>
    <w:rsid w:val="00216291"/>
    <w:rsid w:val="002162B7"/>
    <w:rsid w:val="0021634B"/>
    <w:rsid w:val="0021636E"/>
    <w:rsid w:val="0021647F"/>
    <w:rsid w:val="0021648F"/>
    <w:rsid w:val="002165BA"/>
    <w:rsid w:val="002165BC"/>
    <w:rsid w:val="002165E9"/>
    <w:rsid w:val="0021669C"/>
    <w:rsid w:val="002166B8"/>
    <w:rsid w:val="002168B0"/>
    <w:rsid w:val="002168C7"/>
    <w:rsid w:val="00216969"/>
    <w:rsid w:val="0021699D"/>
    <w:rsid w:val="00216A73"/>
    <w:rsid w:val="00216AA8"/>
    <w:rsid w:val="00216B84"/>
    <w:rsid w:val="00216BC7"/>
    <w:rsid w:val="002170AF"/>
    <w:rsid w:val="00217108"/>
    <w:rsid w:val="00217162"/>
    <w:rsid w:val="002171F2"/>
    <w:rsid w:val="002171FC"/>
    <w:rsid w:val="0021736F"/>
    <w:rsid w:val="00217567"/>
    <w:rsid w:val="00217602"/>
    <w:rsid w:val="00217684"/>
    <w:rsid w:val="0021771F"/>
    <w:rsid w:val="00217967"/>
    <w:rsid w:val="0021799F"/>
    <w:rsid w:val="00217A50"/>
    <w:rsid w:val="00217A73"/>
    <w:rsid w:val="00217BB6"/>
    <w:rsid w:val="00220118"/>
    <w:rsid w:val="00220147"/>
    <w:rsid w:val="00220179"/>
    <w:rsid w:val="002205E8"/>
    <w:rsid w:val="0022062A"/>
    <w:rsid w:val="0022064D"/>
    <w:rsid w:val="0022065B"/>
    <w:rsid w:val="0022071D"/>
    <w:rsid w:val="00220767"/>
    <w:rsid w:val="00220965"/>
    <w:rsid w:val="00220C90"/>
    <w:rsid w:val="00220C96"/>
    <w:rsid w:val="00220CAE"/>
    <w:rsid w:val="00220D63"/>
    <w:rsid w:val="00220D80"/>
    <w:rsid w:val="00220E4B"/>
    <w:rsid w:val="00220F5F"/>
    <w:rsid w:val="00220F71"/>
    <w:rsid w:val="00221023"/>
    <w:rsid w:val="00221118"/>
    <w:rsid w:val="0022129F"/>
    <w:rsid w:val="00221367"/>
    <w:rsid w:val="0022137F"/>
    <w:rsid w:val="002214BA"/>
    <w:rsid w:val="002217E9"/>
    <w:rsid w:val="00221803"/>
    <w:rsid w:val="00221A70"/>
    <w:rsid w:val="00221AA4"/>
    <w:rsid w:val="00221ADC"/>
    <w:rsid w:val="00221B9F"/>
    <w:rsid w:val="00221BEE"/>
    <w:rsid w:val="00221C09"/>
    <w:rsid w:val="00221D87"/>
    <w:rsid w:val="00221EC0"/>
    <w:rsid w:val="00221F39"/>
    <w:rsid w:val="00221FFC"/>
    <w:rsid w:val="00222132"/>
    <w:rsid w:val="00222190"/>
    <w:rsid w:val="002221AC"/>
    <w:rsid w:val="00222470"/>
    <w:rsid w:val="00222525"/>
    <w:rsid w:val="00222563"/>
    <w:rsid w:val="00222656"/>
    <w:rsid w:val="002226E5"/>
    <w:rsid w:val="002228AF"/>
    <w:rsid w:val="00222A35"/>
    <w:rsid w:val="00222AFC"/>
    <w:rsid w:val="00222B67"/>
    <w:rsid w:val="00222B89"/>
    <w:rsid w:val="00222D40"/>
    <w:rsid w:val="00222E51"/>
    <w:rsid w:val="00222E76"/>
    <w:rsid w:val="0022315A"/>
    <w:rsid w:val="002231B4"/>
    <w:rsid w:val="00223226"/>
    <w:rsid w:val="00223284"/>
    <w:rsid w:val="00223340"/>
    <w:rsid w:val="002233DC"/>
    <w:rsid w:val="002234D1"/>
    <w:rsid w:val="0022356F"/>
    <w:rsid w:val="00223642"/>
    <w:rsid w:val="00223700"/>
    <w:rsid w:val="0022371F"/>
    <w:rsid w:val="00223778"/>
    <w:rsid w:val="0022380D"/>
    <w:rsid w:val="0022381C"/>
    <w:rsid w:val="00223C82"/>
    <w:rsid w:val="00223CFE"/>
    <w:rsid w:val="00223F0F"/>
    <w:rsid w:val="0022409A"/>
    <w:rsid w:val="0022412F"/>
    <w:rsid w:val="00224285"/>
    <w:rsid w:val="00224347"/>
    <w:rsid w:val="0022441B"/>
    <w:rsid w:val="00224441"/>
    <w:rsid w:val="00224495"/>
    <w:rsid w:val="0022477A"/>
    <w:rsid w:val="002247A2"/>
    <w:rsid w:val="0022484D"/>
    <w:rsid w:val="00224871"/>
    <w:rsid w:val="002248D4"/>
    <w:rsid w:val="002248FC"/>
    <w:rsid w:val="002249B1"/>
    <w:rsid w:val="00224A12"/>
    <w:rsid w:val="00224A25"/>
    <w:rsid w:val="00224BB1"/>
    <w:rsid w:val="00224CD6"/>
    <w:rsid w:val="00224D01"/>
    <w:rsid w:val="00224EB5"/>
    <w:rsid w:val="00225007"/>
    <w:rsid w:val="00225093"/>
    <w:rsid w:val="002250B3"/>
    <w:rsid w:val="002252BD"/>
    <w:rsid w:val="0022544B"/>
    <w:rsid w:val="00225494"/>
    <w:rsid w:val="002256CC"/>
    <w:rsid w:val="0022581E"/>
    <w:rsid w:val="00225898"/>
    <w:rsid w:val="00225AD4"/>
    <w:rsid w:val="00225CA6"/>
    <w:rsid w:val="00225CFA"/>
    <w:rsid w:val="00225D74"/>
    <w:rsid w:val="00225DF9"/>
    <w:rsid w:val="00225F0C"/>
    <w:rsid w:val="00226061"/>
    <w:rsid w:val="00226106"/>
    <w:rsid w:val="00226114"/>
    <w:rsid w:val="00226189"/>
    <w:rsid w:val="002262F1"/>
    <w:rsid w:val="002262FB"/>
    <w:rsid w:val="0022639C"/>
    <w:rsid w:val="002263AF"/>
    <w:rsid w:val="002263E1"/>
    <w:rsid w:val="00226683"/>
    <w:rsid w:val="0022680C"/>
    <w:rsid w:val="00226829"/>
    <w:rsid w:val="0022692E"/>
    <w:rsid w:val="00226AC1"/>
    <w:rsid w:val="00226B6B"/>
    <w:rsid w:val="00226C09"/>
    <w:rsid w:val="00226C95"/>
    <w:rsid w:val="00226E52"/>
    <w:rsid w:val="0022701A"/>
    <w:rsid w:val="002272BE"/>
    <w:rsid w:val="0022742D"/>
    <w:rsid w:val="0022753B"/>
    <w:rsid w:val="002275AB"/>
    <w:rsid w:val="0022766B"/>
    <w:rsid w:val="002279C6"/>
    <w:rsid w:val="00227A47"/>
    <w:rsid w:val="00227B08"/>
    <w:rsid w:val="00227B1D"/>
    <w:rsid w:val="00227CBC"/>
    <w:rsid w:val="00227F31"/>
    <w:rsid w:val="00230004"/>
    <w:rsid w:val="00230057"/>
    <w:rsid w:val="00230359"/>
    <w:rsid w:val="00230432"/>
    <w:rsid w:val="002306A5"/>
    <w:rsid w:val="002307AB"/>
    <w:rsid w:val="002308A0"/>
    <w:rsid w:val="00230905"/>
    <w:rsid w:val="00230974"/>
    <w:rsid w:val="00230A25"/>
    <w:rsid w:val="00230A92"/>
    <w:rsid w:val="00230AE1"/>
    <w:rsid w:val="00230AE8"/>
    <w:rsid w:val="00230B55"/>
    <w:rsid w:val="00230C1C"/>
    <w:rsid w:val="00230C59"/>
    <w:rsid w:val="00230D4B"/>
    <w:rsid w:val="00230D4C"/>
    <w:rsid w:val="00230EB3"/>
    <w:rsid w:val="00231049"/>
    <w:rsid w:val="00231295"/>
    <w:rsid w:val="00231330"/>
    <w:rsid w:val="002314D2"/>
    <w:rsid w:val="00231696"/>
    <w:rsid w:val="00231754"/>
    <w:rsid w:val="0023175E"/>
    <w:rsid w:val="00231773"/>
    <w:rsid w:val="00231843"/>
    <w:rsid w:val="0023187C"/>
    <w:rsid w:val="002318CA"/>
    <w:rsid w:val="002318D6"/>
    <w:rsid w:val="00231A79"/>
    <w:rsid w:val="00231D0E"/>
    <w:rsid w:val="00231D36"/>
    <w:rsid w:val="00231DF2"/>
    <w:rsid w:val="00231E30"/>
    <w:rsid w:val="00231E50"/>
    <w:rsid w:val="00231E6B"/>
    <w:rsid w:val="00231F1B"/>
    <w:rsid w:val="00231FCA"/>
    <w:rsid w:val="0023227E"/>
    <w:rsid w:val="0023240F"/>
    <w:rsid w:val="00232460"/>
    <w:rsid w:val="002325A7"/>
    <w:rsid w:val="00232806"/>
    <w:rsid w:val="00232A8C"/>
    <w:rsid w:val="00232B36"/>
    <w:rsid w:val="00232B70"/>
    <w:rsid w:val="00232BFE"/>
    <w:rsid w:val="00232CAC"/>
    <w:rsid w:val="00232DA2"/>
    <w:rsid w:val="00232F12"/>
    <w:rsid w:val="0023305C"/>
    <w:rsid w:val="002330B2"/>
    <w:rsid w:val="002330B3"/>
    <w:rsid w:val="00233134"/>
    <w:rsid w:val="002333BB"/>
    <w:rsid w:val="002333F9"/>
    <w:rsid w:val="00233507"/>
    <w:rsid w:val="002335BD"/>
    <w:rsid w:val="0023363E"/>
    <w:rsid w:val="00233757"/>
    <w:rsid w:val="002338DF"/>
    <w:rsid w:val="002339B6"/>
    <w:rsid w:val="00233C29"/>
    <w:rsid w:val="00233CDF"/>
    <w:rsid w:val="00233D01"/>
    <w:rsid w:val="00233EA7"/>
    <w:rsid w:val="00234099"/>
    <w:rsid w:val="002343F1"/>
    <w:rsid w:val="0023446A"/>
    <w:rsid w:val="00234496"/>
    <w:rsid w:val="00234622"/>
    <w:rsid w:val="002346C7"/>
    <w:rsid w:val="0023495D"/>
    <w:rsid w:val="0023497F"/>
    <w:rsid w:val="00234ADA"/>
    <w:rsid w:val="00234AED"/>
    <w:rsid w:val="00234BAA"/>
    <w:rsid w:val="00234BB9"/>
    <w:rsid w:val="00234DA8"/>
    <w:rsid w:val="00234DE8"/>
    <w:rsid w:val="00234E9A"/>
    <w:rsid w:val="00234FC7"/>
    <w:rsid w:val="00234FF8"/>
    <w:rsid w:val="0023500D"/>
    <w:rsid w:val="00235266"/>
    <w:rsid w:val="0023533F"/>
    <w:rsid w:val="0023542C"/>
    <w:rsid w:val="0023582C"/>
    <w:rsid w:val="0023591D"/>
    <w:rsid w:val="0023596C"/>
    <w:rsid w:val="00235980"/>
    <w:rsid w:val="0023598F"/>
    <w:rsid w:val="00235992"/>
    <w:rsid w:val="00235993"/>
    <w:rsid w:val="00235A8E"/>
    <w:rsid w:val="00235B7C"/>
    <w:rsid w:val="00235C17"/>
    <w:rsid w:val="00235C2C"/>
    <w:rsid w:val="00235C85"/>
    <w:rsid w:val="00235CAE"/>
    <w:rsid w:val="00235D9F"/>
    <w:rsid w:val="00235E3E"/>
    <w:rsid w:val="00235E63"/>
    <w:rsid w:val="00235E73"/>
    <w:rsid w:val="00235E87"/>
    <w:rsid w:val="00235FA1"/>
    <w:rsid w:val="00236041"/>
    <w:rsid w:val="00236501"/>
    <w:rsid w:val="0023664B"/>
    <w:rsid w:val="002366DF"/>
    <w:rsid w:val="00236980"/>
    <w:rsid w:val="002369BB"/>
    <w:rsid w:val="00236BBF"/>
    <w:rsid w:val="00236BF0"/>
    <w:rsid w:val="00236BF3"/>
    <w:rsid w:val="00236E5A"/>
    <w:rsid w:val="002371D2"/>
    <w:rsid w:val="002371D7"/>
    <w:rsid w:val="00237228"/>
    <w:rsid w:val="002373A0"/>
    <w:rsid w:val="002374EE"/>
    <w:rsid w:val="00237647"/>
    <w:rsid w:val="00237743"/>
    <w:rsid w:val="00237851"/>
    <w:rsid w:val="002378A3"/>
    <w:rsid w:val="002378FB"/>
    <w:rsid w:val="0023796A"/>
    <w:rsid w:val="00237A14"/>
    <w:rsid w:val="00237BFF"/>
    <w:rsid w:val="00237CD3"/>
    <w:rsid w:val="00237D5E"/>
    <w:rsid w:val="00237D83"/>
    <w:rsid w:val="00237E83"/>
    <w:rsid w:val="00237F35"/>
    <w:rsid w:val="00237F92"/>
    <w:rsid w:val="00237FD9"/>
    <w:rsid w:val="00240191"/>
    <w:rsid w:val="00240274"/>
    <w:rsid w:val="0024035C"/>
    <w:rsid w:val="0024039A"/>
    <w:rsid w:val="00240449"/>
    <w:rsid w:val="00240891"/>
    <w:rsid w:val="00240941"/>
    <w:rsid w:val="00240AA5"/>
    <w:rsid w:val="00240AC4"/>
    <w:rsid w:val="00240BDE"/>
    <w:rsid w:val="00240C01"/>
    <w:rsid w:val="00240CB7"/>
    <w:rsid w:val="00240D4C"/>
    <w:rsid w:val="00240DCE"/>
    <w:rsid w:val="0024111B"/>
    <w:rsid w:val="00241260"/>
    <w:rsid w:val="0024141F"/>
    <w:rsid w:val="0024143A"/>
    <w:rsid w:val="00241527"/>
    <w:rsid w:val="00241574"/>
    <w:rsid w:val="0024165C"/>
    <w:rsid w:val="00241881"/>
    <w:rsid w:val="00241897"/>
    <w:rsid w:val="002418BF"/>
    <w:rsid w:val="002419BE"/>
    <w:rsid w:val="00241AC7"/>
    <w:rsid w:val="00241BBF"/>
    <w:rsid w:val="00241DEA"/>
    <w:rsid w:val="00241F2C"/>
    <w:rsid w:val="00241F58"/>
    <w:rsid w:val="00241F63"/>
    <w:rsid w:val="00242157"/>
    <w:rsid w:val="0024216C"/>
    <w:rsid w:val="00242191"/>
    <w:rsid w:val="00242256"/>
    <w:rsid w:val="002423E6"/>
    <w:rsid w:val="00242564"/>
    <w:rsid w:val="0024267B"/>
    <w:rsid w:val="002426AA"/>
    <w:rsid w:val="002426E2"/>
    <w:rsid w:val="00242732"/>
    <w:rsid w:val="002427AC"/>
    <w:rsid w:val="002428AF"/>
    <w:rsid w:val="0024291E"/>
    <w:rsid w:val="00242942"/>
    <w:rsid w:val="00242948"/>
    <w:rsid w:val="0024294C"/>
    <w:rsid w:val="00242A16"/>
    <w:rsid w:val="00242A7D"/>
    <w:rsid w:val="00242B42"/>
    <w:rsid w:val="00242B67"/>
    <w:rsid w:val="00242B6F"/>
    <w:rsid w:val="00242CCB"/>
    <w:rsid w:val="00242D31"/>
    <w:rsid w:val="00242D96"/>
    <w:rsid w:val="00242E63"/>
    <w:rsid w:val="00242EC0"/>
    <w:rsid w:val="00242F67"/>
    <w:rsid w:val="00242FCA"/>
    <w:rsid w:val="00242FDC"/>
    <w:rsid w:val="00243059"/>
    <w:rsid w:val="0024315E"/>
    <w:rsid w:val="002431D9"/>
    <w:rsid w:val="00243388"/>
    <w:rsid w:val="00243489"/>
    <w:rsid w:val="002434F9"/>
    <w:rsid w:val="0024367A"/>
    <w:rsid w:val="002438A6"/>
    <w:rsid w:val="002438AB"/>
    <w:rsid w:val="0024390F"/>
    <w:rsid w:val="00243956"/>
    <w:rsid w:val="00243BE9"/>
    <w:rsid w:val="00243C34"/>
    <w:rsid w:val="00243CD4"/>
    <w:rsid w:val="00243D4E"/>
    <w:rsid w:val="00243E19"/>
    <w:rsid w:val="00243E56"/>
    <w:rsid w:val="00243F5D"/>
    <w:rsid w:val="00243FB6"/>
    <w:rsid w:val="002442E4"/>
    <w:rsid w:val="00244333"/>
    <w:rsid w:val="00244399"/>
    <w:rsid w:val="0024439A"/>
    <w:rsid w:val="00244485"/>
    <w:rsid w:val="00244557"/>
    <w:rsid w:val="002445C1"/>
    <w:rsid w:val="00244676"/>
    <w:rsid w:val="0024468B"/>
    <w:rsid w:val="002447AC"/>
    <w:rsid w:val="002447DD"/>
    <w:rsid w:val="00244870"/>
    <w:rsid w:val="00244938"/>
    <w:rsid w:val="00244947"/>
    <w:rsid w:val="002449C4"/>
    <w:rsid w:val="00244E33"/>
    <w:rsid w:val="00245060"/>
    <w:rsid w:val="00245249"/>
    <w:rsid w:val="00245296"/>
    <w:rsid w:val="00245486"/>
    <w:rsid w:val="00245587"/>
    <w:rsid w:val="00245827"/>
    <w:rsid w:val="00245BBD"/>
    <w:rsid w:val="00245BD6"/>
    <w:rsid w:val="00245BE6"/>
    <w:rsid w:val="00245C94"/>
    <w:rsid w:val="00245CDD"/>
    <w:rsid w:val="00245CFC"/>
    <w:rsid w:val="00245DB3"/>
    <w:rsid w:val="00245EA5"/>
    <w:rsid w:val="00245F2B"/>
    <w:rsid w:val="00246082"/>
    <w:rsid w:val="002461BA"/>
    <w:rsid w:val="0024621A"/>
    <w:rsid w:val="002463D2"/>
    <w:rsid w:val="0024650D"/>
    <w:rsid w:val="002465D4"/>
    <w:rsid w:val="00246651"/>
    <w:rsid w:val="00246907"/>
    <w:rsid w:val="00246922"/>
    <w:rsid w:val="00246955"/>
    <w:rsid w:val="00246987"/>
    <w:rsid w:val="002469DC"/>
    <w:rsid w:val="00246E82"/>
    <w:rsid w:val="00246EA9"/>
    <w:rsid w:val="00246FFE"/>
    <w:rsid w:val="00247187"/>
    <w:rsid w:val="002471EB"/>
    <w:rsid w:val="002473FE"/>
    <w:rsid w:val="002475B9"/>
    <w:rsid w:val="0024761F"/>
    <w:rsid w:val="00247680"/>
    <w:rsid w:val="00247740"/>
    <w:rsid w:val="0024795C"/>
    <w:rsid w:val="00247C85"/>
    <w:rsid w:val="00247CA4"/>
    <w:rsid w:val="00247D4D"/>
    <w:rsid w:val="00247D8A"/>
    <w:rsid w:val="00247E2B"/>
    <w:rsid w:val="00247E4D"/>
    <w:rsid w:val="00247E93"/>
    <w:rsid w:val="002502BB"/>
    <w:rsid w:val="002502D0"/>
    <w:rsid w:val="0025031F"/>
    <w:rsid w:val="0025053F"/>
    <w:rsid w:val="0025056F"/>
    <w:rsid w:val="00250656"/>
    <w:rsid w:val="002506F8"/>
    <w:rsid w:val="00250703"/>
    <w:rsid w:val="0025070F"/>
    <w:rsid w:val="00250769"/>
    <w:rsid w:val="0025088C"/>
    <w:rsid w:val="00250957"/>
    <w:rsid w:val="00250E17"/>
    <w:rsid w:val="00250E3B"/>
    <w:rsid w:val="00250F0E"/>
    <w:rsid w:val="00250FF3"/>
    <w:rsid w:val="00251258"/>
    <w:rsid w:val="0025147E"/>
    <w:rsid w:val="00251576"/>
    <w:rsid w:val="0025157A"/>
    <w:rsid w:val="002515E7"/>
    <w:rsid w:val="002516B1"/>
    <w:rsid w:val="0025178A"/>
    <w:rsid w:val="00251793"/>
    <w:rsid w:val="002517EF"/>
    <w:rsid w:val="00251806"/>
    <w:rsid w:val="00251816"/>
    <w:rsid w:val="00251833"/>
    <w:rsid w:val="0025185F"/>
    <w:rsid w:val="002519BD"/>
    <w:rsid w:val="00251A9E"/>
    <w:rsid w:val="00251B43"/>
    <w:rsid w:val="00251B79"/>
    <w:rsid w:val="00251CD2"/>
    <w:rsid w:val="00251D00"/>
    <w:rsid w:val="00251D97"/>
    <w:rsid w:val="00251FB8"/>
    <w:rsid w:val="00252119"/>
    <w:rsid w:val="00252122"/>
    <w:rsid w:val="0025223D"/>
    <w:rsid w:val="0025254D"/>
    <w:rsid w:val="002525DD"/>
    <w:rsid w:val="00252615"/>
    <w:rsid w:val="00252619"/>
    <w:rsid w:val="002526B9"/>
    <w:rsid w:val="002526ED"/>
    <w:rsid w:val="002526F3"/>
    <w:rsid w:val="0025289D"/>
    <w:rsid w:val="00252B61"/>
    <w:rsid w:val="00252C02"/>
    <w:rsid w:val="00252CC0"/>
    <w:rsid w:val="00252D21"/>
    <w:rsid w:val="00252DFA"/>
    <w:rsid w:val="00252E1F"/>
    <w:rsid w:val="00253180"/>
    <w:rsid w:val="002531CB"/>
    <w:rsid w:val="00253203"/>
    <w:rsid w:val="00253423"/>
    <w:rsid w:val="00253473"/>
    <w:rsid w:val="002534BD"/>
    <w:rsid w:val="0025350A"/>
    <w:rsid w:val="002538B7"/>
    <w:rsid w:val="002538DC"/>
    <w:rsid w:val="00253968"/>
    <w:rsid w:val="002539BF"/>
    <w:rsid w:val="00253CA9"/>
    <w:rsid w:val="00253CCB"/>
    <w:rsid w:val="00253D2E"/>
    <w:rsid w:val="00253DA2"/>
    <w:rsid w:val="00253DB6"/>
    <w:rsid w:val="00253E16"/>
    <w:rsid w:val="00253E63"/>
    <w:rsid w:val="00253F08"/>
    <w:rsid w:val="00253F4C"/>
    <w:rsid w:val="0025402B"/>
    <w:rsid w:val="002541D9"/>
    <w:rsid w:val="002541F7"/>
    <w:rsid w:val="00254234"/>
    <w:rsid w:val="002543D8"/>
    <w:rsid w:val="0025443E"/>
    <w:rsid w:val="0025455C"/>
    <w:rsid w:val="002545CD"/>
    <w:rsid w:val="002545F4"/>
    <w:rsid w:val="002546CF"/>
    <w:rsid w:val="0025479C"/>
    <w:rsid w:val="002548DF"/>
    <w:rsid w:val="00254941"/>
    <w:rsid w:val="002549DF"/>
    <w:rsid w:val="002549F1"/>
    <w:rsid w:val="002549F3"/>
    <w:rsid w:val="00254A91"/>
    <w:rsid w:val="00254BD1"/>
    <w:rsid w:val="00254C76"/>
    <w:rsid w:val="00254D47"/>
    <w:rsid w:val="00254DD0"/>
    <w:rsid w:val="00254DF7"/>
    <w:rsid w:val="0025508D"/>
    <w:rsid w:val="002550C5"/>
    <w:rsid w:val="00255102"/>
    <w:rsid w:val="002551DB"/>
    <w:rsid w:val="00255210"/>
    <w:rsid w:val="00255283"/>
    <w:rsid w:val="0025531A"/>
    <w:rsid w:val="00255386"/>
    <w:rsid w:val="00255399"/>
    <w:rsid w:val="00255484"/>
    <w:rsid w:val="0025548D"/>
    <w:rsid w:val="002554E9"/>
    <w:rsid w:val="0025550A"/>
    <w:rsid w:val="00255593"/>
    <w:rsid w:val="0025562A"/>
    <w:rsid w:val="00255642"/>
    <w:rsid w:val="00255672"/>
    <w:rsid w:val="002557BC"/>
    <w:rsid w:val="002558CA"/>
    <w:rsid w:val="002559C4"/>
    <w:rsid w:val="00255A1A"/>
    <w:rsid w:val="00255B8C"/>
    <w:rsid w:val="00255BA9"/>
    <w:rsid w:val="00255FB3"/>
    <w:rsid w:val="0025605B"/>
    <w:rsid w:val="002561F8"/>
    <w:rsid w:val="00256270"/>
    <w:rsid w:val="00256302"/>
    <w:rsid w:val="0025635F"/>
    <w:rsid w:val="00256361"/>
    <w:rsid w:val="002563C6"/>
    <w:rsid w:val="0025652F"/>
    <w:rsid w:val="002566D2"/>
    <w:rsid w:val="00256710"/>
    <w:rsid w:val="0025673E"/>
    <w:rsid w:val="00256AEE"/>
    <w:rsid w:val="00256D61"/>
    <w:rsid w:val="00256D65"/>
    <w:rsid w:val="00256E28"/>
    <w:rsid w:val="00256F47"/>
    <w:rsid w:val="00256FAB"/>
    <w:rsid w:val="0025700E"/>
    <w:rsid w:val="002571B9"/>
    <w:rsid w:val="00257254"/>
    <w:rsid w:val="002572A2"/>
    <w:rsid w:val="0025748A"/>
    <w:rsid w:val="00257526"/>
    <w:rsid w:val="0025768F"/>
    <w:rsid w:val="002577C6"/>
    <w:rsid w:val="0025790F"/>
    <w:rsid w:val="00257972"/>
    <w:rsid w:val="002579C6"/>
    <w:rsid w:val="00257AF4"/>
    <w:rsid w:val="00257B4D"/>
    <w:rsid w:val="00257D48"/>
    <w:rsid w:val="00257DD5"/>
    <w:rsid w:val="00257F65"/>
    <w:rsid w:val="002602F3"/>
    <w:rsid w:val="00260373"/>
    <w:rsid w:val="002603E0"/>
    <w:rsid w:val="002604A4"/>
    <w:rsid w:val="002605A0"/>
    <w:rsid w:val="00260694"/>
    <w:rsid w:val="002606EC"/>
    <w:rsid w:val="00260804"/>
    <w:rsid w:val="00260837"/>
    <w:rsid w:val="00260A80"/>
    <w:rsid w:val="00260C3F"/>
    <w:rsid w:val="00260D8F"/>
    <w:rsid w:val="00260DF1"/>
    <w:rsid w:val="00260F19"/>
    <w:rsid w:val="0026112E"/>
    <w:rsid w:val="0026114B"/>
    <w:rsid w:val="00261251"/>
    <w:rsid w:val="002612AC"/>
    <w:rsid w:val="0026146D"/>
    <w:rsid w:val="00261735"/>
    <w:rsid w:val="00261789"/>
    <w:rsid w:val="00261857"/>
    <w:rsid w:val="002619CE"/>
    <w:rsid w:val="00261AB4"/>
    <w:rsid w:val="00261AEB"/>
    <w:rsid w:val="00261BA5"/>
    <w:rsid w:val="00261CFD"/>
    <w:rsid w:val="00261ED7"/>
    <w:rsid w:val="00261F65"/>
    <w:rsid w:val="00262271"/>
    <w:rsid w:val="002622EA"/>
    <w:rsid w:val="0026231E"/>
    <w:rsid w:val="002623BA"/>
    <w:rsid w:val="002623DA"/>
    <w:rsid w:val="0026240F"/>
    <w:rsid w:val="00262467"/>
    <w:rsid w:val="0026276C"/>
    <w:rsid w:val="00262826"/>
    <w:rsid w:val="00262902"/>
    <w:rsid w:val="00262963"/>
    <w:rsid w:val="00262A0D"/>
    <w:rsid w:val="00262A1D"/>
    <w:rsid w:val="00262B05"/>
    <w:rsid w:val="00262D38"/>
    <w:rsid w:val="00262D5F"/>
    <w:rsid w:val="00262D87"/>
    <w:rsid w:val="00262EFE"/>
    <w:rsid w:val="00262F02"/>
    <w:rsid w:val="00262F52"/>
    <w:rsid w:val="00262F9B"/>
    <w:rsid w:val="002634FE"/>
    <w:rsid w:val="002635CD"/>
    <w:rsid w:val="0026367B"/>
    <w:rsid w:val="0026369D"/>
    <w:rsid w:val="002637AF"/>
    <w:rsid w:val="0026390C"/>
    <w:rsid w:val="00263927"/>
    <w:rsid w:val="00263967"/>
    <w:rsid w:val="002639EB"/>
    <w:rsid w:val="00263B6C"/>
    <w:rsid w:val="00263CD5"/>
    <w:rsid w:val="00263CE8"/>
    <w:rsid w:val="00263DD8"/>
    <w:rsid w:val="00263E49"/>
    <w:rsid w:val="00263E89"/>
    <w:rsid w:val="00263FD0"/>
    <w:rsid w:val="00264021"/>
    <w:rsid w:val="0026411D"/>
    <w:rsid w:val="00264163"/>
    <w:rsid w:val="002641F3"/>
    <w:rsid w:val="00264631"/>
    <w:rsid w:val="00264638"/>
    <w:rsid w:val="002646F3"/>
    <w:rsid w:val="002646F7"/>
    <w:rsid w:val="00264821"/>
    <w:rsid w:val="00264A81"/>
    <w:rsid w:val="00264B9F"/>
    <w:rsid w:val="00264C65"/>
    <w:rsid w:val="00264F23"/>
    <w:rsid w:val="00264FC1"/>
    <w:rsid w:val="00265051"/>
    <w:rsid w:val="002650C9"/>
    <w:rsid w:val="00265218"/>
    <w:rsid w:val="002653D6"/>
    <w:rsid w:val="002655EE"/>
    <w:rsid w:val="00265794"/>
    <w:rsid w:val="00265839"/>
    <w:rsid w:val="0026586D"/>
    <w:rsid w:val="002659C4"/>
    <w:rsid w:val="00265A11"/>
    <w:rsid w:val="00265C06"/>
    <w:rsid w:val="00265CC8"/>
    <w:rsid w:val="00265DB8"/>
    <w:rsid w:val="00265DC0"/>
    <w:rsid w:val="0026601E"/>
    <w:rsid w:val="002660E2"/>
    <w:rsid w:val="00266137"/>
    <w:rsid w:val="00266180"/>
    <w:rsid w:val="0026626F"/>
    <w:rsid w:val="0026632D"/>
    <w:rsid w:val="0026647A"/>
    <w:rsid w:val="00266613"/>
    <w:rsid w:val="002666A4"/>
    <w:rsid w:val="0026671F"/>
    <w:rsid w:val="002667AE"/>
    <w:rsid w:val="00266941"/>
    <w:rsid w:val="00266B74"/>
    <w:rsid w:val="00266BD8"/>
    <w:rsid w:val="00266C45"/>
    <w:rsid w:val="00266FD5"/>
    <w:rsid w:val="00266FEC"/>
    <w:rsid w:val="00267319"/>
    <w:rsid w:val="00267412"/>
    <w:rsid w:val="00267478"/>
    <w:rsid w:val="002677F9"/>
    <w:rsid w:val="00267845"/>
    <w:rsid w:val="00267899"/>
    <w:rsid w:val="0026795D"/>
    <w:rsid w:val="00267986"/>
    <w:rsid w:val="00267A0B"/>
    <w:rsid w:val="00267C77"/>
    <w:rsid w:val="00267C85"/>
    <w:rsid w:val="00267DDB"/>
    <w:rsid w:val="00267E83"/>
    <w:rsid w:val="00267FAE"/>
    <w:rsid w:val="002700FF"/>
    <w:rsid w:val="002703FD"/>
    <w:rsid w:val="002704D7"/>
    <w:rsid w:val="0027052B"/>
    <w:rsid w:val="00270543"/>
    <w:rsid w:val="00270591"/>
    <w:rsid w:val="00270629"/>
    <w:rsid w:val="0027071A"/>
    <w:rsid w:val="00270896"/>
    <w:rsid w:val="00270ADE"/>
    <w:rsid w:val="00270BE8"/>
    <w:rsid w:val="00270C09"/>
    <w:rsid w:val="00270C3E"/>
    <w:rsid w:val="00270D3B"/>
    <w:rsid w:val="00270F09"/>
    <w:rsid w:val="00270FAC"/>
    <w:rsid w:val="00271059"/>
    <w:rsid w:val="00271087"/>
    <w:rsid w:val="002711C5"/>
    <w:rsid w:val="002711E3"/>
    <w:rsid w:val="00271595"/>
    <w:rsid w:val="00271598"/>
    <w:rsid w:val="00271778"/>
    <w:rsid w:val="002717CD"/>
    <w:rsid w:val="002717D6"/>
    <w:rsid w:val="002719CE"/>
    <w:rsid w:val="002719DE"/>
    <w:rsid w:val="00271C59"/>
    <w:rsid w:val="00271D2D"/>
    <w:rsid w:val="00271E48"/>
    <w:rsid w:val="00271E8C"/>
    <w:rsid w:val="00271F2B"/>
    <w:rsid w:val="0027201E"/>
    <w:rsid w:val="00272023"/>
    <w:rsid w:val="002722A9"/>
    <w:rsid w:val="0027234E"/>
    <w:rsid w:val="00272468"/>
    <w:rsid w:val="002724BF"/>
    <w:rsid w:val="002727FF"/>
    <w:rsid w:val="00272939"/>
    <w:rsid w:val="00272959"/>
    <w:rsid w:val="0027296D"/>
    <w:rsid w:val="0027299D"/>
    <w:rsid w:val="002729A5"/>
    <w:rsid w:val="00272AC3"/>
    <w:rsid w:val="00272D78"/>
    <w:rsid w:val="00272E18"/>
    <w:rsid w:val="00272FA8"/>
    <w:rsid w:val="002731B6"/>
    <w:rsid w:val="00273201"/>
    <w:rsid w:val="00273227"/>
    <w:rsid w:val="00273229"/>
    <w:rsid w:val="00273293"/>
    <w:rsid w:val="002732FE"/>
    <w:rsid w:val="00273467"/>
    <w:rsid w:val="0027346C"/>
    <w:rsid w:val="002735CB"/>
    <w:rsid w:val="00273763"/>
    <w:rsid w:val="00273A18"/>
    <w:rsid w:val="00273B22"/>
    <w:rsid w:val="00273E65"/>
    <w:rsid w:val="0027411E"/>
    <w:rsid w:val="002741E0"/>
    <w:rsid w:val="002741E4"/>
    <w:rsid w:val="002744CD"/>
    <w:rsid w:val="00274556"/>
    <w:rsid w:val="0027465F"/>
    <w:rsid w:val="0027473B"/>
    <w:rsid w:val="00274763"/>
    <w:rsid w:val="0027476F"/>
    <w:rsid w:val="002747AD"/>
    <w:rsid w:val="00274829"/>
    <w:rsid w:val="0027484B"/>
    <w:rsid w:val="00274972"/>
    <w:rsid w:val="002749B8"/>
    <w:rsid w:val="00274AE4"/>
    <w:rsid w:val="00274AEA"/>
    <w:rsid w:val="00274B31"/>
    <w:rsid w:val="00274F17"/>
    <w:rsid w:val="00275007"/>
    <w:rsid w:val="002750B7"/>
    <w:rsid w:val="0027520D"/>
    <w:rsid w:val="002752AE"/>
    <w:rsid w:val="0027534D"/>
    <w:rsid w:val="00275440"/>
    <w:rsid w:val="002756F2"/>
    <w:rsid w:val="0027590B"/>
    <w:rsid w:val="00275983"/>
    <w:rsid w:val="00275A93"/>
    <w:rsid w:val="00275ADF"/>
    <w:rsid w:val="00275C69"/>
    <w:rsid w:val="00275C8F"/>
    <w:rsid w:val="00275CEF"/>
    <w:rsid w:val="00275D3A"/>
    <w:rsid w:val="00275E03"/>
    <w:rsid w:val="00275E3B"/>
    <w:rsid w:val="00275EB5"/>
    <w:rsid w:val="00275ED2"/>
    <w:rsid w:val="00275F51"/>
    <w:rsid w:val="00275FD9"/>
    <w:rsid w:val="002760BE"/>
    <w:rsid w:val="00276257"/>
    <w:rsid w:val="00276382"/>
    <w:rsid w:val="002763AC"/>
    <w:rsid w:val="002766DD"/>
    <w:rsid w:val="002766EE"/>
    <w:rsid w:val="0027690D"/>
    <w:rsid w:val="00276AD5"/>
    <w:rsid w:val="00276B3C"/>
    <w:rsid w:val="00276CE6"/>
    <w:rsid w:val="00276DBA"/>
    <w:rsid w:val="00277347"/>
    <w:rsid w:val="0027752B"/>
    <w:rsid w:val="0027767A"/>
    <w:rsid w:val="00277698"/>
    <w:rsid w:val="002776B0"/>
    <w:rsid w:val="002776FB"/>
    <w:rsid w:val="00277A56"/>
    <w:rsid w:val="00277A5D"/>
    <w:rsid w:val="00277BCB"/>
    <w:rsid w:val="00277C22"/>
    <w:rsid w:val="00277C92"/>
    <w:rsid w:val="00277CC4"/>
    <w:rsid w:val="00277D18"/>
    <w:rsid w:val="00277DB9"/>
    <w:rsid w:val="00277ECE"/>
    <w:rsid w:val="00280029"/>
    <w:rsid w:val="00280038"/>
    <w:rsid w:val="002801AD"/>
    <w:rsid w:val="002801AE"/>
    <w:rsid w:val="002801EC"/>
    <w:rsid w:val="00280200"/>
    <w:rsid w:val="0028026E"/>
    <w:rsid w:val="002803D3"/>
    <w:rsid w:val="00280560"/>
    <w:rsid w:val="00280585"/>
    <w:rsid w:val="00280780"/>
    <w:rsid w:val="0028079C"/>
    <w:rsid w:val="002807B3"/>
    <w:rsid w:val="0028091A"/>
    <w:rsid w:val="00280AB8"/>
    <w:rsid w:val="00280AC0"/>
    <w:rsid w:val="00280C04"/>
    <w:rsid w:val="00280C26"/>
    <w:rsid w:val="00280E0F"/>
    <w:rsid w:val="00280E80"/>
    <w:rsid w:val="00280E89"/>
    <w:rsid w:val="00280F6F"/>
    <w:rsid w:val="0028118A"/>
    <w:rsid w:val="002811DB"/>
    <w:rsid w:val="00281493"/>
    <w:rsid w:val="00281500"/>
    <w:rsid w:val="0028154B"/>
    <w:rsid w:val="002815E0"/>
    <w:rsid w:val="002815EF"/>
    <w:rsid w:val="00281616"/>
    <w:rsid w:val="002816DF"/>
    <w:rsid w:val="00281808"/>
    <w:rsid w:val="002819DE"/>
    <w:rsid w:val="00281A29"/>
    <w:rsid w:val="00281A54"/>
    <w:rsid w:val="00281AAF"/>
    <w:rsid w:val="00281AF2"/>
    <w:rsid w:val="00281B6F"/>
    <w:rsid w:val="00281CDC"/>
    <w:rsid w:val="00281D00"/>
    <w:rsid w:val="00281DDE"/>
    <w:rsid w:val="00281FC0"/>
    <w:rsid w:val="002820C0"/>
    <w:rsid w:val="00282104"/>
    <w:rsid w:val="00282188"/>
    <w:rsid w:val="002822FB"/>
    <w:rsid w:val="00282385"/>
    <w:rsid w:val="00282482"/>
    <w:rsid w:val="0028263B"/>
    <w:rsid w:val="002827E5"/>
    <w:rsid w:val="0028280C"/>
    <w:rsid w:val="00282994"/>
    <w:rsid w:val="002829FE"/>
    <w:rsid w:val="00282B73"/>
    <w:rsid w:val="00282B9B"/>
    <w:rsid w:val="00282CC3"/>
    <w:rsid w:val="00282D2A"/>
    <w:rsid w:val="00282E5E"/>
    <w:rsid w:val="00282F6C"/>
    <w:rsid w:val="0028303F"/>
    <w:rsid w:val="00283156"/>
    <w:rsid w:val="00283180"/>
    <w:rsid w:val="002831E6"/>
    <w:rsid w:val="00283200"/>
    <w:rsid w:val="00283239"/>
    <w:rsid w:val="00283388"/>
    <w:rsid w:val="00283824"/>
    <w:rsid w:val="0028386C"/>
    <w:rsid w:val="00283B9B"/>
    <w:rsid w:val="00283C7E"/>
    <w:rsid w:val="00283D96"/>
    <w:rsid w:val="00283EEE"/>
    <w:rsid w:val="002841A2"/>
    <w:rsid w:val="002842AC"/>
    <w:rsid w:val="002842F5"/>
    <w:rsid w:val="002843E4"/>
    <w:rsid w:val="00284475"/>
    <w:rsid w:val="00284514"/>
    <w:rsid w:val="00284543"/>
    <w:rsid w:val="002847FD"/>
    <w:rsid w:val="00284851"/>
    <w:rsid w:val="002848DA"/>
    <w:rsid w:val="00284BFD"/>
    <w:rsid w:val="00284EC2"/>
    <w:rsid w:val="00284F0D"/>
    <w:rsid w:val="0028559D"/>
    <w:rsid w:val="0028565E"/>
    <w:rsid w:val="0028569F"/>
    <w:rsid w:val="002856DB"/>
    <w:rsid w:val="00285777"/>
    <w:rsid w:val="002858E8"/>
    <w:rsid w:val="00285969"/>
    <w:rsid w:val="00285AB1"/>
    <w:rsid w:val="00285C79"/>
    <w:rsid w:val="00285D86"/>
    <w:rsid w:val="00285E60"/>
    <w:rsid w:val="002861C1"/>
    <w:rsid w:val="00286385"/>
    <w:rsid w:val="002863AF"/>
    <w:rsid w:val="00286477"/>
    <w:rsid w:val="00286501"/>
    <w:rsid w:val="0028654A"/>
    <w:rsid w:val="00286773"/>
    <w:rsid w:val="002868BE"/>
    <w:rsid w:val="002868EA"/>
    <w:rsid w:val="0028696E"/>
    <w:rsid w:val="00286ACE"/>
    <w:rsid w:val="00286AF9"/>
    <w:rsid w:val="00286B30"/>
    <w:rsid w:val="00286C33"/>
    <w:rsid w:val="00286CC2"/>
    <w:rsid w:val="00286CE2"/>
    <w:rsid w:val="00286D1D"/>
    <w:rsid w:val="00286D9A"/>
    <w:rsid w:val="00286E0C"/>
    <w:rsid w:val="00286FAF"/>
    <w:rsid w:val="00286FB0"/>
    <w:rsid w:val="00286FBE"/>
    <w:rsid w:val="00286FCA"/>
    <w:rsid w:val="00287047"/>
    <w:rsid w:val="00287070"/>
    <w:rsid w:val="00287092"/>
    <w:rsid w:val="002870BE"/>
    <w:rsid w:val="00287156"/>
    <w:rsid w:val="00287157"/>
    <w:rsid w:val="0028727A"/>
    <w:rsid w:val="0028741A"/>
    <w:rsid w:val="0028741E"/>
    <w:rsid w:val="0028753F"/>
    <w:rsid w:val="002875E5"/>
    <w:rsid w:val="00287610"/>
    <w:rsid w:val="002876D3"/>
    <w:rsid w:val="002878C3"/>
    <w:rsid w:val="00287955"/>
    <w:rsid w:val="00287A75"/>
    <w:rsid w:val="00287AE5"/>
    <w:rsid w:val="00287C6E"/>
    <w:rsid w:val="00287C81"/>
    <w:rsid w:val="00287CDA"/>
    <w:rsid w:val="00287CDB"/>
    <w:rsid w:val="00287DAA"/>
    <w:rsid w:val="00287E46"/>
    <w:rsid w:val="00287E78"/>
    <w:rsid w:val="00287F3C"/>
    <w:rsid w:val="00287F82"/>
    <w:rsid w:val="00290142"/>
    <w:rsid w:val="00290170"/>
    <w:rsid w:val="002901DE"/>
    <w:rsid w:val="002902B0"/>
    <w:rsid w:val="002902E3"/>
    <w:rsid w:val="0029037F"/>
    <w:rsid w:val="002903B0"/>
    <w:rsid w:val="002903FF"/>
    <w:rsid w:val="00290455"/>
    <w:rsid w:val="002904EB"/>
    <w:rsid w:val="0029054C"/>
    <w:rsid w:val="00290596"/>
    <w:rsid w:val="00290653"/>
    <w:rsid w:val="00290703"/>
    <w:rsid w:val="0029077F"/>
    <w:rsid w:val="002907E5"/>
    <w:rsid w:val="002908F9"/>
    <w:rsid w:val="00290903"/>
    <w:rsid w:val="002909AB"/>
    <w:rsid w:val="00290C12"/>
    <w:rsid w:val="00290D69"/>
    <w:rsid w:val="00290E01"/>
    <w:rsid w:val="00290EB4"/>
    <w:rsid w:val="00290FC5"/>
    <w:rsid w:val="00291021"/>
    <w:rsid w:val="00291059"/>
    <w:rsid w:val="002911CE"/>
    <w:rsid w:val="002912E2"/>
    <w:rsid w:val="002915E5"/>
    <w:rsid w:val="00291797"/>
    <w:rsid w:val="00291932"/>
    <w:rsid w:val="00291959"/>
    <w:rsid w:val="00291BF4"/>
    <w:rsid w:val="00291DC7"/>
    <w:rsid w:val="00291F25"/>
    <w:rsid w:val="0029258E"/>
    <w:rsid w:val="002926C1"/>
    <w:rsid w:val="002926CD"/>
    <w:rsid w:val="00292862"/>
    <w:rsid w:val="0029286C"/>
    <w:rsid w:val="00292991"/>
    <w:rsid w:val="00292B37"/>
    <w:rsid w:val="00292B67"/>
    <w:rsid w:val="00292C9C"/>
    <w:rsid w:val="00292CB2"/>
    <w:rsid w:val="00292D18"/>
    <w:rsid w:val="00292D8C"/>
    <w:rsid w:val="00292DA5"/>
    <w:rsid w:val="00292E2B"/>
    <w:rsid w:val="00292E8D"/>
    <w:rsid w:val="00292EAF"/>
    <w:rsid w:val="00292EE0"/>
    <w:rsid w:val="00292F23"/>
    <w:rsid w:val="00292FAC"/>
    <w:rsid w:val="00293077"/>
    <w:rsid w:val="002930F8"/>
    <w:rsid w:val="002931D4"/>
    <w:rsid w:val="00293354"/>
    <w:rsid w:val="002933A5"/>
    <w:rsid w:val="002933AC"/>
    <w:rsid w:val="00293599"/>
    <w:rsid w:val="0029359C"/>
    <w:rsid w:val="00293692"/>
    <w:rsid w:val="00293738"/>
    <w:rsid w:val="002938E4"/>
    <w:rsid w:val="00293B09"/>
    <w:rsid w:val="00293BF0"/>
    <w:rsid w:val="00293E93"/>
    <w:rsid w:val="0029403D"/>
    <w:rsid w:val="00294053"/>
    <w:rsid w:val="0029412E"/>
    <w:rsid w:val="00294188"/>
    <w:rsid w:val="002942DC"/>
    <w:rsid w:val="002945D2"/>
    <w:rsid w:val="002946B1"/>
    <w:rsid w:val="002946ED"/>
    <w:rsid w:val="0029471A"/>
    <w:rsid w:val="002948C3"/>
    <w:rsid w:val="00294937"/>
    <w:rsid w:val="0029493F"/>
    <w:rsid w:val="00294A62"/>
    <w:rsid w:val="00294C0C"/>
    <w:rsid w:val="00294C42"/>
    <w:rsid w:val="00294CCA"/>
    <w:rsid w:val="00294D95"/>
    <w:rsid w:val="00294DA1"/>
    <w:rsid w:val="00294DB4"/>
    <w:rsid w:val="0029504F"/>
    <w:rsid w:val="00295121"/>
    <w:rsid w:val="0029521D"/>
    <w:rsid w:val="00295280"/>
    <w:rsid w:val="00295419"/>
    <w:rsid w:val="002955AF"/>
    <w:rsid w:val="0029563D"/>
    <w:rsid w:val="002956BC"/>
    <w:rsid w:val="002957EF"/>
    <w:rsid w:val="0029582C"/>
    <w:rsid w:val="0029586B"/>
    <w:rsid w:val="002959F6"/>
    <w:rsid w:val="002959F7"/>
    <w:rsid w:val="00295B30"/>
    <w:rsid w:val="00295B72"/>
    <w:rsid w:val="00295BAD"/>
    <w:rsid w:val="00295C20"/>
    <w:rsid w:val="00295CE9"/>
    <w:rsid w:val="00295EDD"/>
    <w:rsid w:val="00295FBE"/>
    <w:rsid w:val="00295FFA"/>
    <w:rsid w:val="00296006"/>
    <w:rsid w:val="0029632B"/>
    <w:rsid w:val="00296347"/>
    <w:rsid w:val="00296355"/>
    <w:rsid w:val="00296530"/>
    <w:rsid w:val="002965AB"/>
    <w:rsid w:val="002965D3"/>
    <w:rsid w:val="002966DA"/>
    <w:rsid w:val="00296802"/>
    <w:rsid w:val="0029680C"/>
    <w:rsid w:val="00296812"/>
    <w:rsid w:val="002969D1"/>
    <w:rsid w:val="00296A4B"/>
    <w:rsid w:val="00296A5B"/>
    <w:rsid w:val="00296ACC"/>
    <w:rsid w:val="00296BE3"/>
    <w:rsid w:val="00296EFA"/>
    <w:rsid w:val="00297035"/>
    <w:rsid w:val="0029720F"/>
    <w:rsid w:val="00297615"/>
    <w:rsid w:val="00297679"/>
    <w:rsid w:val="00297692"/>
    <w:rsid w:val="00297833"/>
    <w:rsid w:val="00297845"/>
    <w:rsid w:val="00297978"/>
    <w:rsid w:val="002979F8"/>
    <w:rsid w:val="00297A28"/>
    <w:rsid w:val="00297A3D"/>
    <w:rsid w:val="00297B05"/>
    <w:rsid w:val="00297BC8"/>
    <w:rsid w:val="00297C55"/>
    <w:rsid w:val="00297C81"/>
    <w:rsid w:val="00297D34"/>
    <w:rsid w:val="00297D57"/>
    <w:rsid w:val="00297DA1"/>
    <w:rsid w:val="00297E29"/>
    <w:rsid w:val="00297FDB"/>
    <w:rsid w:val="002A0197"/>
    <w:rsid w:val="002A0291"/>
    <w:rsid w:val="002A02A8"/>
    <w:rsid w:val="002A0386"/>
    <w:rsid w:val="002A048C"/>
    <w:rsid w:val="002A0542"/>
    <w:rsid w:val="002A0733"/>
    <w:rsid w:val="002A0B31"/>
    <w:rsid w:val="002A0D80"/>
    <w:rsid w:val="002A0DEA"/>
    <w:rsid w:val="002A0DFF"/>
    <w:rsid w:val="002A0F73"/>
    <w:rsid w:val="002A127B"/>
    <w:rsid w:val="002A13BF"/>
    <w:rsid w:val="002A1451"/>
    <w:rsid w:val="002A14AE"/>
    <w:rsid w:val="002A14D7"/>
    <w:rsid w:val="002A158C"/>
    <w:rsid w:val="002A17B1"/>
    <w:rsid w:val="002A1A8B"/>
    <w:rsid w:val="002A1BE6"/>
    <w:rsid w:val="002A1C29"/>
    <w:rsid w:val="002A1DB3"/>
    <w:rsid w:val="002A1E6C"/>
    <w:rsid w:val="002A1F84"/>
    <w:rsid w:val="002A2268"/>
    <w:rsid w:val="002A231A"/>
    <w:rsid w:val="002A2347"/>
    <w:rsid w:val="002A234B"/>
    <w:rsid w:val="002A2465"/>
    <w:rsid w:val="002A278F"/>
    <w:rsid w:val="002A2AC5"/>
    <w:rsid w:val="002A2B24"/>
    <w:rsid w:val="002A2B96"/>
    <w:rsid w:val="002A2E4A"/>
    <w:rsid w:val="002A2E4E"/>
    <w:rsid w:val="002A2E55"/>
    <w:rsid w:val="002A2E7F"/>
    <w:rsid w:val="002A2EE2"/>
    <w:rsid w:val="002A2EF2"/>
    <w:rsid w:val="002A2FD4"/>
    <w:rsid w:val="002A30D5"/>
    <w:rsid w:val="002A3316"/>
    <w:rsid w:val="002A337B"/>
    <w:rsid w:val="002A3405"/>
    <w:rsid w:val="002A3453"/>
    <w:rsid w:val="002A3458"/>
    <w:rsid w:val="002A34E3"/>
    <w:rsid w:val="002A35D3"/>
    <w:rsid w:val="002A3671"/>
    <w:rsid w:val="002A3688"/>
    <w:rsid w:val="002A37CF"/>
    <w:rsid w:val="002A3928"/>
    <w:rsid w:val="002A3B46"/>
    <w:rsid w:val="002A3CF9"/>
    <w:rsid w:val="002A3D6F"/>
    <w:rsid w:val="002A3DF6"/>
    <w:rsid w:val="002A3FAE"/>
    <w:rsid w:val="002A4178"/>
    <w:rsid w:val="002A42B7"/>
    <w:rsid w:val="002A42EF"/>
    <w:rsid w:val="002A43AA"/>
    <w:rsid w:val="002A4432"/>
    <w:rsid w:val="002A4461"/>
    <w:rsid w:val="002A446B"/>
    <w:rsid w:val="002A452A"/>
    <w:rsid w:val="002A4661"/>
    <w:rsid w:val="002A4710"/>
    <w:rsid w:val="002A4728"/>
    <w:rsid w:val="002A47DA"/>
    <w:rsid w:val="002A4C6B"/>
    <w:rsid w:val="002A4D6D"/>
    <w:rsid w:val="002A4DCF"/>
    <w:rsid w:val="002A4E64"/>
    <w:rsid w:val="002A4FF8"/>
    <w:rsid w:val="002A5165"/>
    <w:rsid w:val="002A51EB"/>
    <w:rsid w:val="002A5511"/>
    <w:rsid w:val="002A5677"/>
    <w:rsid w:val="002A56AF"/>
    <w:rsid w:val="002A5853"/>
    <w:rsid w:val="002A5856"/>
    <w:rsid w:val="002A5A28"/>
    <w:rsid w:val="002A5A50"/>
    <w:rsid w:val="002A5A7A"/>
    <w:rsid w:val="002A5BAC"/>
    <w:rsid w:val="002A5C1F"/>
    <w:rsid w:val="002A5CCC"/>
    <w:rsid w:val="002A5DAE"/>
    <w:rsid w:val="002A5E1D"/>
    <w:rsid w:val="002A5E55"/>
    <w:rsid w:val="002A61FE"/>
    <w:rsid w:val="002A6258"/>
    <w:rsid w:val="002A63D2"/>
    <w:rsid w:val="002A6620"/>
    <w:rsid w:val="002A662E"/>
    <w:rsid w:val="002A6749"/>
    <w:rsid w:val="002A67A6"/>
    <w:rsid w:val="002A67EC"/>
    <w:rsid w:val="002A683A"/>
    <w:rsid w:val="002A69E0"/>
    <w:rsid w:val="002A6AB0"/>
    <w:rsid w:val="002A6B80"/>
    <w:rsid w:val="002A6BDF"/>
    <w:rsid w:val="002A6E4A"/>
    <w:rsid w:val="002A6EA3"/>
    <w:rsid w:val="002A6F01"/>
    <w:rsid w:val="002A7061"/>
    <w:rsid w:val="002A70E3"/>
    <w:rsid w:val="002A7109"/>
    <w:rsid w:val="002A717A"/>
    <w:rsid w:val="002A71E1"/>
    <w:rsid w:val="002A72B6"/>
    <w:rsid w:val="002A73CC"/>
    <w:rsid w:val="002A74EF"/>
    <w:rsid w:val="002A755E"/>
    <w:rsid w:val="002A7616"/>
    <w:rsid w:val="002A7734"/>
    <w:rsid w:val="002A783E"/>
    <w:rsid w:val="002A78D4"/>
    <w:rsid w:val="002A78F1"/>
    <w:rsid w:val="002A7974"/>
    <w:rsid w:val="002A79A9"/>
    <w:rsid w:val="002A7A1D"/>
    <w:rsid w:val="002A7A31"/>
    <w:rsid w:val="002A7A36"/>
    <w:rsid w:val="002A7A4D"/>
    <w:rsid w:val="002A7B21"/>
    <w:rsid w:val="002A7B2D"/>
    <w:rsid w:val="002A7B4F"/>
    <w:rsid w:val="002A7D3A"/>
    <w:rsid w:val="002A7EBA"/>
    <w:rsid w:val="002B0060"/>
    <w:rsid w:val="002B00C1"/>
    <w:rsid w:val="002B01D6"/>
    <w:rsid w:val="002B0227"/>
    <w:rsid w:val="002B0268"/>
    <w:rsid w:val="002B02BE"/>
    <w:rsid w:val="002B02E5"/>
    <w:rsid w:val="002B0390"/>
    <w:rsid w:val="002B03E1"/>
    <w:rsid w:val="002B063D"/>
    <w:rsid w:val="002B0893"/>
    <w:rsid w:val="002B08A1"/>
    <w:rsid w:val="002B09A9"/>
    <w:rsid w:val="002B0A42"/>
    <w:rsid w:val="002B0A8C"/>
    <w:rsid w:val="002B0BF1"/>
    <w:rsid w:val="002B0C11"/>
    <w:rsid w:val="002B0CF2"/>
    <w:rsid w:val="002B0FC8"/>
    <w:rsid w:val="002B111E"/>
    <w:rsid w:val="002B11CE"/>
    <w:rsid w:val="002B120F"/>
    <w:rsid w:val="002B1248"/>
    <w:rsid w:val="002B158B"/>
    <w:rsid w:val="002B17BA"/>
    <w:rsid w:val="002B17D5"/>
    <w:rsid w:val="002B1898"/>
    <w:rsid w:val="002B1947"/>
    <w:rsid w:val="002B1C24"/>
    <w:rsid w:val="002B1CD1"/>
    <w:rsid w:val="002B1CF5"/>
    <w:rsid w:val="002B1D99"/>
    <w:rsid w:val="002B1E47"/>
    <w:rsid w:val="002B1E93"/>
    <w:rsid w:val="002B1EE7"/>
    <w:rsid w:val="002B1FFD"/>
    <w:rsid w:val="002B201F"/>
    <w:rsid w:val="002B2038"/>
    <w:rsid w:val="002B23BA"/>
    <w:rsid w:val="002B2449"/>
    <w:rsid w:val="002B2456"/>
    <w:rsid w:val="002B2472"/>
    <w:rsid w:val="002B24CD"/>
    <w:rsid w:val="002B273E"/>
    <w:rsid w:val="002B277F"/>
    <w:rsid w:val="002B28E8"/>
    <w:rsid w:val="002B28F7"/>
    <w:rsid w:val="002B29C9"/>
    <w:rsid w:val="002B2A89"/>
    <w:rsid w:val="002B2AF7"/>
    <w:rsid w:val="002B2C2B"/>
    <w:rsid w:val="002B2C66"/>
    <w:rsid w:val="002B2CD6"/>
    <w:rsid w:val="002B2CF4"/>
    <w:rsid w:val="002B2E01"/>
    <w:rsid w:val="002B2ED3"/>
    <w:rsid w:val="002B30C1"/>
    <w:rsid w:val="002B30F4"/>
    <w:rsid w:val="002B31ED"/>
    <w:rsid w:val="002B3273"/>
    <w:rsid w:val="002B327C"/>
    <w:rsid w:val="002B3322"/>
    <w:rsid w:val="002B3464"/>
    <w:rsid w:val="002B3551"/>
    <w:rsid w:val="002B36BD"/>
    <w:rsid w:val="002B3773"/>
    <w:rsid w:val="002B3797"/>
    <w:rsid w:val="002B3829"/>
    <w:rsid w:val="002B38D0"/>
    <w:rsid w:val="002B39BD"/>
    <w:rsid w:val="002B3B36"/>
    <w:rsid w:val="002B3B80"/>
    <w:rsid w:val="002B3C24"/>
    <w:rsid w:val="002B3CD7"/>
    <w:rsid w:val="002B3CF6"/>
    <w:rsid w:val="002B3CF9"/>
    <w:rsid w:val="002B3D78"/>
    <w:rsid w:val="002B3DB3"/>
    <w:rsid w:val="002B3EE8"/>
    <w:rsid w:val="002B4056"/>
    <w:rsid w:val="002B412D"/>
    <w:rsid w:val="002B4230"/>
    <w:rsid w:val="002B4302"/>
    <w:rsid w:val="002B43D6"/>
    <w:rsid w:val="002B4482"/>
    <w:rsid w:val="002B461B"/>
    <w:rsid w:val="002B4752"/>
    <w:rsid w:val="002B47CA"/>
    <w:rsid w:val="002B4B52"/>
    <w:rsid w:val="002B4B92"/>
    <w:rsid w:val="002B4C9D"/>
    <w:rsid w:val="002B4CC9"/>
    <w:rsid w:val="002B4CF9"/>
    <w:rsid w:val="002B4E03"/>
    <w:rsid w:val="002B4E2E"/>
    <w:rsid w:val="002B504D"/>
    <w:rsid w:val="002B50A7"/>
    <w:rsid w:val="002B5233"/>
    <w:rsid w:val="002B544D"/>
    <w:rsid w:val="002B5534"/>
    <w:rsid w:val="002B568B"/>
    <w:rsid w:val="002B5754"/>
    <w:rsid w:val="002B578C"/>
    <w:rsid w:val="002B58C1"/>
    <w:rsid w:val="002B598D"/>
    <w:rsid w:val="002B5AC5"/>
    <w:rsid w:val="002B5CC6"/>
    <w:rsid w:val="002B5D2F"/>
    <w:rsid w:val="002B5F56"/>
    <w:rsid w:val="002B604C"/>
    <w:rsid w:val="002B6055"/>
    <w:rsid w:val="002B6072"/>
    <w:rsid w:val="002B610C"/>
    <w:rsid w:val="002B61B3"/>
    <w:rsid w:val="002B61E9"/>
    <w:rsid w:val="002B62A9"/>
    <w:rsid w:val="002B62C9"/>
    <w:rsid w:val="002B6714"/>
    <w:rsid w:val="002B672B"/>
    <w:rsid w:val="002B6963"/>
    <w:rsid w:val="002B6965"/>
    <w:rsid w:val="002B69F9"/>
    <w:rsid w:val="002B6A12"/>
    <w:rsid w:val="002B6A1D"/>
    <w:rsid w:val="002B6B1D"/>
    <w:rsid w:val="002B6C33"/>
    <w:rsid w:val="002B6C9B"/>
    <w:rsid w:val="002B6CF5"/>
    <w:rsid w:val="002B6F99"/>
    <w:rsid w:val="002B7068"/>
    <w:rsid w:val="002B73D4"/>
    <w:rsid w:val="002B741A"/>
    <w:rsid w:val="002B74EB"/>
    <w:rsid w:val="002B78A7"/>
    <w:rsid w:val="002B78DF"/>
    <w:rsid w:val="002B7977"/>
    <w:rsid w:val="002B7B5E"/>
    <w:rsid w:val="002B7EAB"/>
    <w:rsid w:val="002C0090"/>
    <w:rsid w:val="002C00B1"/>
    <w:rsid w:val="002C0134"/>
    <w:rsid w:val="002C01B5"/>
    <w:rsid w:val="002C01BB"/>
    <w:rsid w:val="002C021B"/>
    <w:rsid w:val="002C0341"/>
    <w:rsid w:val="002C0374"/>
    <w:rsid w:val="002C0389"/>
    <w:rsid w:val="002C03C2"/>
    <w:rsid w:val="002C03CC"/>
    <w:rsid w:val="002C0626"/>
    <w:rsid w:val="002C071F"/>
    <w:rsid w:val="002C0746"/>
    <w:rsid w:val="002C076A"/>
    <w:rsid w:val="002C0790"/>
    <w:rsid w:val="002C08F8"/>
    <w:rsid w:val="002C0959"/>
    <w:rsid w:val="002C0A7B"/>
    <w:rsid w:val="002C0BA9"/>
    <w:rsid w:val="002C0BCF"/>
    <w:rsid w:val="002C0C43"/>
    <w:rsid w:val="002C0CE6"/>
    <w:rsid w:val="002C0ECE"/>
    <w:rsid w:val="002C0FD0"/>
    <w:rsid w:val="002C1028"/>
    <w:rsid w:val="002C10D7"/>
    <w:rsid w:val="002C1404"/>
    <w:rsid w:val="002C1440"/>
    <w:rsid w:val="002C1708"/>
    <w:rsid w:val="002C1765"/>
    <w:rsid w:val="002C178F"/>
    <w:rsid w:val="002C17A4"/>
    <w:rsid w:val="002C1CDC"/>
    <w:rsid w:val="002C1F87"/>
    <w:rsid w:val="002C1F89"/>
    <w:rsid w:val="002C207F"/>
    <w:rsid w:val="002C2158"/>
    <w:rsid w:val="002C22A4"/>
    <w:rsid w:val="002C22EF"/>
    <w:rsid w:val="002C2329"/>
    <w:rsid w:val="002C2338"/>
    <w:rsid w:val="002C2569"/>
    <w:rsid w:val="002C2697"/>
    <w:rsid w:val="002C26C5"/>
    <w:rsid w:val="002C26DF"/>
    <w:rsid w:val="002C27E9"/>
    <w:rsid w:val="002C294D"/>
    <w:rsid w:val="002C295C"/>
    <w:rsid w:val="002C2A5D"/>
    <w:rsid w:val="002C2A93"/>
    <w:rsid w:val="002C2C4E"/>
    <w:rsid w:val="002C2C9C"/>
    <w:rsid w:val="002C2E27"/>
    <w:rsid w:val="002C2E2B"/>
    <w:rsid w:val="002C2F36"/>
    <w:rsid w:val="002C2F94"/>
    <w:rsid w:val="002C30A9"/>
    <w:rsid w:val="002C3165"/>
    <w:rsid w:val="002C3226"/>
    <w:rsid w:val="002C32C1"/>
    <w:rsid w:val="002C336D"/>
    <w:rsid w:val="002C34D3"/>
    <w:rsid w:val="002C35DB"/>
    <w:rsid w:val="002C35E9"/>
    <w:rsid w:val="002C3668"/>
    <w:rsid w:val="002C3722"/>
    <w:rsid w:val="002C3842"/>
    <w:rsid w:val="002C3890"/>
    <w:rsid w:val="002C38E5"/>
    <w:rsid w:val="002C3984"/>
    <w:rsid w:val="002C3A3F"/>
    <w:rsid w:val="002C3ABB"/>
    <w:rsid w:val="002C3B7B"/>
    <w:rsid w:val="002C3C12"/>
    <w:rsid w:val="002C3CD4"/>
    <w:rsid w:val="002C3EAD"/>
    <w:rsid w:val="002C4023"/>
    <w:rsid w:val="002C4215"/>
    <w:rsid w:val="002C42B2"/>
    <w:rsid w:val="002C449F"/>
    <w:rsid w:val="002C44B9"/>
    <w:rsid w:val="002C4555"/>
    <w:rsid w:val="002C4592"/>
    <w:rsid w:val="002C473B"/>
    <w:rsid w:val="002C4900"/>
    <w:rsid w:val="002C4917"/>
    <w:rsid w:val="002C4C6D"/>
    <w:rsid w:val="002C4C81"/>
    <w:rsid w:val="002C4C87"/>
    <w:rsid w:val="002C4CBB"/>
    <w:rsid w:val="002C5080"/>
    <w:rsid w:val="002C52EE"/>
    <w:rsid w:val="002C5722"/>
    <w:rsid w:val="002C57AB"/>
    <w:rsid w:val="002C57ED"/>
    <w:rsid w:val="002C598E"/>
    <w:rsid w:val="002C5B16"/>
    <w:rsid w:val="002C5C03"/>
    <w:rsid w:val="002C5C3A"/>
    <w:rsid w:val="002C5CAE"/>
    <w:rsid w:val="002C5DBE"/>
    <w:rsid w:val="002C5DC9"/>
    <w:rsid w:val="002C5E3A"/>
    <w:rsid w:val="002C5E58"/>
    <w:rsid w:val="002C61D9"/>
    <w:rsid w:val="002C623F"/>
    <w:rsid w:val="002C628D"/>
    <w:rsid w:val="002C6292"/>
    <w:rsid w:val="002C62EA"/>
    <w:rsid w:val="002C630F"/>
    <w:rsid w:val="002C6332"/>
    <w:rsid w:val="002C6376"/>
    <w:rsid w:val="002C6451"/>
    <w:rsid w:val="002C656E"/>
    <w:rsid w:val="002C6669"/>
    <w:rsid w:val="002C68B1"/>
    <w:rsid w:val="002C6986"/>
    <w:rsid w:val="002C6A34"/>
    <w:rsid w:val="002C6B27"/>
    <w:rsid w:val="002C6BC6"/>
    <w:rsid w:val="002C6D59"/>
    <w:rsid w:val="002C6D93"/>
    <w:rsid w:val="002C6DC7"/>
    <w:rsid w:val="002C6E8B"/>
    <w:rsid w:val="002C6FBF"/>
    <w:rsid w:val="002C6FEC"/>
    <w:rsid w:val="002C702F"/>
    <w:rsid w:val="002C7039"/>
    <w:rsid w:val="002C70A0"/>
    <w:rsid w:val="002C7112"/>
    <w:rsid w:val="002C727F"/>
    <w:rsid w:val="002C7283"/>
    <w:rsid w:val="002C7458"/>
    <w:rsid w:val="002C74BB"/>
    <w:rsid w:val="002C7647"/>
    <w:rsid w:val="002C7C07"/>
    <w:rsid w:val="002C7C55"/>
    <w:rsid w:val="002C7CAF"/>
    <w:rsid w:val="002C7D31"/>
    <w:rsid w:val="002C7DEE"/>
    <w:rsid w:val="002C7EAD"/>
    <w:rsid w:val="002C7F09"/>
    <w:rsid w:val="002C7F0B"/>
    <w:rsid w:val="002C7F0D"/>
    <w:rsid w:val="002C7F66"/>
    <w:rsid w:val="002D02A5"/>
    <w:rsid w:val="002D03E1"/>
    <w:rsid w:val="002D0403"/>
    <w:rsid w:val="002D054A"/>
    <w:rsid w:val="002D0586"/>
    <w:rsid w:val="002D075C"/>
    <w:rsid w:val="002D0900"/>
    <w:rsid w:val="002D0A23"/>
    <w:rsid w:val="002D0A7F"/>
    <w:rsid w:val="002D0B75"/>
    <w:rsid w:val="002D0B85"/>
    <w:rsid w:val="002D0BCA"/>
    <w:rsid w:val="002D0C06"/>
    <w:rsid w:val="002D0C1C"/>
    <w:rsid w:val="002D0C55"/>
    <w:rsid w:val="002D0CEE"/>
    <w:rsid w:val="002D111B"/>
    <w:rsid w:val="002D11F6"/>
    <w:rsid w:val="002D1512"/>
    <w:rsid w:val="002D1528"/>
    <w:rsid w:val="002D161E"/>
    <w:rsid w:val="002D1735"/>
    <w:rsid w:val="002D17EB"/>
    <w:rsid w:val="002D1864"/>
    <w:rsid w:val="002D18AA"/>
    <w:rsid w:val="002D18E1"/>
    <w:rsid w:val="002D198D"/>
    <w:rsid w:val="002D19EF"/>
    <w:rsid w:val="002D1AD6"/>
    <w:rsid w:val="002D1BB0"/>
    <w:rsid w:val="002D1CDD"/>
    <w:rsid w:val="002D1D05"/>
    <w:rsid w:val="002D1D57"/>
    <w:rsid w:val="002D1DDD"/>
    <w:rsid w:val="002D1EFA"/>
    <w:rsid w:val="002D1F1C"/>
    <w:rsid w:val="002D1F9A"/>
    <w:rsid w:val="002D1FB4"/>
    <w:rsid w:val="002D1FD8"/>
    <w:rsid w:val="002D1FE7"/>
    <w:rsid w:val="002D201A"/>
    <w:rsid w:val="002D2286"/>
    <w:rsid w:val="002D26A3"/>
    <w:rsid w:val="002D28CC"/>
    <w:rsid w:val="002D2901"/>
    <w:rsid w:val="002D2915"/>
    <w:rsid w:val="002D2921"/>
    <w:rsid w:val="002D2966"/>
    <w:rsid w:val="002D2A55"/>
    <w:rsid w:val="002D2C52"/>
    <w:rsid w:val="002D2E64"/>
    <w:rsid w:val="002D3010"/>
    <w:rsid w:val="002D3197"/>
    <w:rsid w:val="002D31B7"/>
    <w:rsid w:val="002D31E9"/>
    <w:rsid w:val="002D328E"/>
    <w:rsid w:val="002D3298"/>
    <w:rsid w:val="002D32C5"/>
    <w:rsid w:val="002D35C0"/>
    <w:rsid w:val="002D3655"/>
    <w:rsid w:val="002D379B"/>
    <w:rsid w:val="002D390F"/>
    <w:rsid w:val="002D39B6"/>
    <w:rsid w:val="002D3B6C"/>
    <w:rsid w:val="002D3C3A"/>
    <w:rsid w:val="002D3D48"/>
    <w:rsid w:val="002D3D56"/>
    <w:rsid w:val="002D3E02"/>
    <w:rsid w:val="002D3E26"/>
    <w:rsid w:val="002D3ECE"/>
    <w:rsid w:val="002D41BD"/>
    <w:rsid w:val="002D42D0"/>
    <w:rsid w:val="002D4338"/>
    <w:rsid w:val="002D456C"/>
    <w:rsid w:val="002D456E"/>
    <w:rsid w:val="002D45D4"/>
    <w:rsid w:val="002D45EC"/>
    <w:rsid w:val="002D4689"/>
    <w:rsid w:val="002D48BD"/>
    <w:rsid w:val="002D49B1"/>
    <w:rsid w:val="002D49D8"/>
    <w:rsid w:val="002D4A4B"/>
    <w:rsid w:val="002D4FB3"/>
    <w:rsid w:val="002D4FD7"/>
    <w:rsid w:val="002D4FF7"/>
    <w:rsid w:val="002D5097"/>
    <w:rsid w:val="002D51CE"/>
    <w:rsid w:val="002D5416"/>
    <w:rsid w:val="002D54B8"/>
    <w:rsid w:val="002D566F"/>
    <w:rsid w:val="002D5694"/>
    <w:rsid w:val="002D56FB"/>
    <w:rsid w:val="002D5709"/>
    <w:rsid w:val="002D587B"/>
    <w:rsid w:val="002D5B59"/>
    <w:rsid w:val="002D5BE0"/>
    <w:rsid w:val="002D5C07"/>
    <w:rsid w:val="002D5C93"/>
    <w:rsid w:val="002D5D16"/>
    <w:rsid w:val="002D5E54"/>
    <w:rsid w:val="002D5EAA"/>
    <w:rsid w:val="002D5EF4"/>
    <w:rsid w:val="002D5FA3"/>
    <w:rsid w:val="002D6022"/>
    <w:rsid w:val="002D60C4"/>
    <w:rsid w:val="002D60FB"/>
    <w:rsid w:val="002D60FC"/>
    <w:rsid w:val="002D62C6"/>
    <w:rsid w:val="002D64B8"/>
    <w:rsid w:val="002D6585"/>
    <w:rsid w:val="002D6652"/>
    <w:rsid w:val="002D67F6"/>
    <w:rsid w:val="002D6B62"/>
    <w:rsid w:val="002D6D4D"/>
    <w:rsid w:val="002D6E03"/>
    <w:rsid w:val="002D6E8D"/>
    <w:rsid w:val="002D6F31"/>
    <w:rsid w:val="002D7015"/>
    <w:rsid w:val="002D7235"/>
    <w:rsid w:val="002D736F"/>
    <w:rsid w:val="002D7447"/>
    <w:rsid w:val="002D74ED"/>
    <w:rsid w:val="002D769C"/>
    <w:rsid w:val="002D7758"/>
    <w:rsid w:val="002D777D"/>
    <w:rsid w:val="002D7812"/>
    <w:rsid w:val="002D7935"/>
    <w:rsid w:val="002D7A7C"/>
    <w:rsid w:val="002D7B36"/>
    <w:rsid w:val="002D7BCB"/>
    <w:rsid w:val="002D7D70"/>
    <w:rsid w:val="002D7E80"/>
    <w:rsid w:val="002D7EE7"/>
    <w:rsid w:val="002D7F8C"/>
    <w:rsid w:val="002E0111"/>
    <w:rsid w:val="002E012C"/>
    <w:rsid w:val="002E0177"/>
    <w:rsid w:val="002E01CE"/>
    <w:rsid w:val="002E01D2"/>
    <w:rsid w:val="002E0341"/>
    <w:rsid w:val="002E0488"/>
    <w:rsid w:val="002E0497"/>
    <w:rsid w:val="002E04BF"/>
    <w:rsid w:val="002E051E"/>
    <w:rsid w:val="002E05D4"/>
    <w:rsid w:val="002E065F"/>
    <w:rsid w:val="002E0778"/>
    <w:rsid w:val="002E08BA"/>
    <w:rsid w:val="002E0AC4"/>
    <w:rsid w:val="002E0B69"/>
    <w:rsid w:val="002E0D30"/>
    <w:rsid w:val="002E0EA1"/>
    <w:rsid w:val="002E0EA4"/>
    <w:rsid w:val="002E0FA1"/>
    <w:rsid w:val="002E11CF"/>
    <w:rsid w:val="002E1232"/>
    <w:rsid w:val="002E1252"/>
    <w:rsid w:val="002E1265"/>
    <w:rsid w:val="002E144B"/>
    <w:rsid w:val="002E147C"/>
    <w:rsid w:val="002E156D"/>
    <w:rsid w:val="002E175A"/>
    <w:rsid w:val="002E1A0A"/>
    <w:rsid w:val="002E1A8C"/>
    <w:rsid w:val="002E1AC9"/>
    <w:rsid w:val="002E1D5F"/>
    <w:rsid w:val="002E1E4B"/>
    <w:rsid w:val="002E1F25"/>
    <w:rsid w:val="002E1FB6"/>
    <w:rsid w:val="002E21F1"/>
    <w:rsid w:val="002E22BB"/>
    <w:rsid w:val="002E2377"/>
    <w:rsid w:val="002E23A1"/>
    <w:rsid w:val="002E2465"/>
    <w:rsid w:val="002E2651"/>
    <w:rsid w:val="002E27BC"/>
    <w:rsid w:val="002E2891"/>
    <w:rsid w:val="002E2899"/>
    <w:rsid w:val="002E28E3"/>
    <w:rsid w:val="002E2919"/>
    <w:rsid w:val="002E2AFF"/>
    <w:rsid w:val="002E2BCB"/>
    <w:rsid w:val="002E2ECA"/>
    <w:rsid w:val="002E2ECE"/>
    <w:rsid w:val="002E2EE4"/>
    <w:rsid w:val="002E319B"/>
    <w:rsid w:val="002E31AD"/>
    <w:rsid w:val="002E3271"/>
    <w:rsid w:val="002E32BD"/>
    <w:rsid w:val="002E33E4"/>
    <w:rsid w:val="002E35BD"/>
    <w:rsid w:val="002E3642"/>
    <w:rsid w:val="002E367B"/>
    <w:rsid w:val="002E3751"/>
    <w:rsid w:val="002E37DC"/>
    <w:rsid w:val="002E39B0"/>
    <w:rsid w:val="002E3AA5"/>
    <w:rsid w:val="002E3BC5"/>
    <w:rsid w:val="002E3C12"/>
    <w:rsid w:val="002E3C29"/>
    <w:rsid w:val="002E3C5F"/>
    <w:rsid w:val="002E3CCF"/>
    <w:rsid w:val="002E3D7B"/>
    <w:rsid w:val="002E3DCA"/>
    <w:rsid w:val="002E3DD4"/>
    <w:rsid w:val="002E3EE1"/>
    <w:rsid w:val="002E42C2"/>
    <w:rsid w:val="002E4473"/>
    <w:rsid w:val="002E450F"/>
    <w:rsid w:val="002E454C"/>
    <w:rsid w:val="002E461A"/>
    <w:rsid w:val="002E48A1"/>
    <w:rsid w:val="002E4914"/>
    <w:rsid w:val="002E4C48"/>
    <w:rsid w:val="002E4C5E"/>
    <w:rsid w:val="002E4E55"/>
    <w:rsid w:val="002E4F41"/>
    <w:rsid w:val="002E5188"/>
    <w:rsid w:val="002E5400"/>
    <w:rsid w:val="002E54AF"/>
    <w:rsid w:val="002E54B0"/>
    <w:rsid w:val="002E563A"/>
    <w:rsid w:val="002E5657"/>
    <w:rsid w:val="002E596C"/>
    <w:rsid w:val="002E59A8"/>
    <w:rsid w:val="002E5A1C"/>
    <w:rsid w:val="002E5A2F"/>
    <w:rsid w:val="002E5AA5"/>
    <w:rsid w:val="002E5C3A"/>
    <w:rsid w:val="002E5C4B"/>
    <w:rsid w:val="002E5CD3"/>
    <w:rsid w:val="002E5D31"/>
    <w:rsid w:val="002E5D74"/>
    <w:rsid w:val="002E5FF6"/>
    <w:rsid w:val="002E6089"/>
    <w:rsid w:val="002E6153"/>
    <w:rsid w:val="002E6219"/>
    <w:rsid w:val="002E6407"/>
    <w:rsid w:val="002E657D"/>
    <w:rsid w:val="002E65E3"/>
    <w:rsid w:val="002E6887"/>
    <w:rsid w:val="002E6946"/>
    <w:rsid w:val="002E6997"/>
    <w:rsid w:val="002E69E5"/>
    <w:rsid w:val="002E6B12"/>
    <w:rsid w:val="002E6C77"/>
    <w:rsid w:val="002E6CAF"/>
    <w:rsid w:val="002E70E9"/>
    <w:rsid w:val="002E7134"/>
    <w:rsid w:val="002E7178"/>
    <w:rsid w:val="002E717D"/>
    <w:rsid w:val="002E71C3"/>
    <w:rsid w:val="002E720E"/>
    <w:rsid w:val="002E73A7"/>
    <w:rsid w:val="002E73CD"/>
    <w:rsid w:val="002E75C8"/>
    <w:rsid w:val="002E798D"/>
    <w:rsid w:val="002E7A48"/>
    <w:rsid w:val="002E7A61"/>
    <w:rsid w:val="002E7B04"/>
    <w:rsid w:val="002E7B3C"/>
    <w:rsid w:val="002E7B5E"/>
    <w:rsid w:val="002E7B8C"/>
    <w:rsid w:val="002E7B94"/>
    <w:rsid w:val="002E7BDA"/>
    <w:rsid w:val="002E7C4B"/>
    <w:rsid w:val="002E7EBE"/>
    <w:rsid w:val="002E7F4D"/>
    <w:rsid w:val="002F002C"/>
    <w:rsid w:val="002F01E5"/>
    <w:rsid w:val="002F0205"/>
    <w:rsid w:val="002F0280"/>
    <w:rsid w:val="002F0374"/>
    <w:rsid w:val="002F0572"/>
    <w:rsid w:val="002F05EB"/>
    <w:rsid w:val="002F075A"/>
    <w:rsid w:val="002F07D4"/>
    <w:rsid w:val="002F094C"/>
    <w:rsid w:val="002F09A7"/>
    <w:rsid w:val="002F09D7"/>
    <w:rsid w:val="002F09FD"/>
    <w:rsid w:val="002F0BAF"/>
    <w:rsid w:val="002F0CCA"/>
    <w:rsid w:val="002F0CF7"/>
    <w:rsid w:val="002F0D19"/>
    <w:rsid w:val="002F0D88"/>
    <w:rsid w:val="002F0DDD"/>
    <w:rsid w:val="002F0EDF"/>
    <w:rsid w:val="002F0EE9"/>
    <w:rsid w:val="002F0FB6"/>
    <w:rsid w:val="002F108E"/>
    <w:rsid w:val="002F10A1"/>
    <w:rsid w:val="002F10C9"/>
    <w:rsid w:val="002F1241"/>
    <w:rsid w:val="002F14E1"/>
    <w:rsid w:val="002F17A8"/>
    <w:rsid w:val="002F17AB"/>
    <w:rsid w:val="002F1810"/>
    <w:rsid w:val="002F1841"/>
    <w:rsid w:val="002F1A76"/>
    <w:rsid w:val="002F1A86"/>
    <w:rsid w:val="002F1B03"/>
    <w:rsid w:val="002F1B8B"/>
    <w:rsid w:val="002F1BED"/>
    <w:rsid w:val="002F1C6F"/>
    <w:rsid w:val="002F1DE2"/>
    <w:rsid w:val="002F1E06"/>
    <w:rsid w:val="002F1F67"/>
    <w:rsid w:val="002F2044"/>
    <w:rsid w:val="002F2046"/>
    <w:rsid w:val="002F20D8"/>
    <w:rsid w:val="002F2244"/>
    <w:rsid w:val="002F2254"/>
    <w:rsid w:val="002F2320"/>
    <w:rsid w:val="002F23B6"/>
    <w:rsid w:val="002F250E"/>
    <w:rsid w:val="002F2594"/>
    <w:rsid w:val="002F25AD"/>
    <w:rsid w:val="002F261D"/>
    <w:rsid w:val="002F2688"/>
    <w:rsid w:val="002F26EA"/>
    <w:rsid w:val="002F28C9"/>
    <w:rsid w:val="002F29A8"/>
    <w:rsid w:val="002F29C9"/>
    <w:rsid w:val="002F2C69"/>
    <w:rsid w:val="002F2CE4"/>
    <w:rsid w:val="002F2DB9"/>
    <w:rsid w:val="002F2DCE"/>
    <w:rsid w:val="002F2EB2"/>
    <w:rsid w:val="002F2FB9"/>
    <w:rsid w:val="002F2FE6"/>
    <w:rsid w:val="002F3027"/>
    <w:rsid w:val="002F30E5"/>
    <w:rsid w:val="002F333A"/>
    <w:rsid w:val="002F34B9"/>
    <w:rsid w:val="002F3556"/>
    <w:rsid w:val="002F3722"/>
    <w:rsid w:val="002F37BF"/>
    <w:rsid w:val="002F3801"/>
    <w:rsid w:val="002F387B"/>
    <w:rsid w:val="002F394C"/>
    <w:rsid w:val="002F39EA"/>
    <w:rsid w:val="002F3A5B"/>
    <w:rsid w:val="002F3AC1"/>
    <w:rsid w:val="002F3AC8"/>
    <w:rsid w:val="002F3BB0"/>
    <w:rsid w:val="002F3EF7"/>
    <w:rsid w:val="002F3F92"/>
    <w:rsid w:val="002F3FA8"/>
    <w:rsid w:val="002F405A"/>
    <w:rsid w:val="002F406B"/>
    <w:rsid w:val="002F40B5"/>
    <w:rsid w:val="002F437F"/>
    <w:rsid w:val="002F43A2"/>
    <w:rsid w:val="002F44D7"/>
    <w:rsid w:val="002F4525"/>
    <w:rsid w:val="002F45C5"/>
    <w:rsid w:val="002F470B"/>
    <w:rsid w:val="002F4759"/>
    <w:rsid w:val="002F4784"/>
    <w:rsid w:val="002F4838"/>
    <w:rsid w:val="002F48B8"/>
    <w:rsid w:val="002F4A71"/>
    <w:rsid w:val="002F4BF6"/>
    <w:rsid w:val="002F4C4C"/>
    <w:rsid w:val="002F4D52"/>
    <w:rsid w:val="002F4E9B"/>
    <w:rsid w:val="002F4F4A"/>
    <w:rsid w:val="002F5259"/>
    <w:rsid w:val="002F5343"/>
    <w:rsid w:val="002F5476"/>
    <w:rsid w:val="002F5586"/>
    <w:rsid w:val="002F5628"/>
    <w:rsid w:val="002F56D1"/>
    <w:rsid w:val="002F5B7B"/>
    <w:rsid w:val="002F5E12"/>
    <w:rsid w:val="002F5F77"/>
    <w:rsid w:val="002F5F9A"/>
    <w:rsid w:val="002F6006"/>
    <w:rsid w:val="002F606F"/>
    <w:rsid w:val="002F6076"/>
    <w:rsid w:val="002F6154"/>
    <w:rsid w:val="002F617F"/>
    <w:rsid w:val="002F6199"/>
    <w:rsid w:val="002F62BB"/>
    <w:rsid w:val="002F6350"/>
    <w:rsid w:val="002F65A6"/>
    <w:rsid w:val="002F662C"/>
    <w:rsid w:val="002F67B7"/>
    <w:rsid w:val="002F6827"/>
    <w:rsid w:val="002F68A8"/>
    <w:rsid w:val="002F69EC"/>
    <w:rsid w:val="002F6A23"/>
    <w:rsid w:val="002F6ADA"/>
    <w:rsid w:val="002F6AEE"/>
    <w:rsid w:val="002F6B8B"/>
    <w:rsid w:val="002F6C46"/>
    <w:rsid w:val="002F6CD0"/>
    <w:rsid w:val="002F6DAD"/>
    <w:rsid w:val="002F6F1A"/>
    <w:rsid w:val="002F6F28"/>
    <w:rsid w:val="002F7257"/>
    <w:rsid w:val="002F726A"/>
    <w:rsid w:val="002F728E"/>
    <w:rsid w:val="002F735E"/>
    <w:rsid w:val="002F7431"/>
    <w:rsid w:val="002F744D"/>
    <w:rsid w:val="002F77A1"/>
    <w:rsid w:val="002F77CC"/>
    <w:rsid w:val="002F787B"/>
    <w:rsid w:val="002F789E"/>
    <w:rsid w:val="002F78AD"/>
    <w:rsid w:val="002F7AAD"/>
    <w:rsid w:val="002F7B84"/>
    <w:rsid w:val="002F7B93"/>
    <w:rsid w:val="002F7C9D"/>
    <w:rsid w:val="002F7E6D"/>
    <w:rsid w:val="002F7F03"/>
    <w:rsid w:val="00300109"/>
    <w:rsid w:val="00300129"/>
    <w:rsid w:val="0030018E"/>
    <w:rsid w:val="00300205"/>
    <w:rsid w:val="0030028C"/>
    <w:rsid w:val="0030028E"/>
    <w:rsid w:val="00300392"/>
    <w:rsid w:val="003008B4"/>
    <w:rsid w:val="003009B8"/>
    <w:rsid w:val="003009FD"/>
    <w:rsid w:val="00300B89"/>
    <w:rsid w:val="00300BA3"/>
    <w:rsid w:val="00300D4E"/>
    <w:rsid w:val="00300D4F"/>
    <w:rsid w:val="00300D5A"/>
    <w:rsid w:val="00300D7A"/>
    <w:rsid w:val="00300D8B"/>
    <w:rsid w:val="00300E09"/>
    <w:rsid w:val="0030135F"/>
    <w:rsid w:val="0030140E"/>
    <w:rsid w:val="00301539"/>
    <w:rsid w:val="003015EC"/>
    <w:rsid w:val="0030165B"/>
    <w:rsid w:val="00301665"/>
    <w:rsid w:val="00301755"/>
    <w:rsid w:val="003019BD"/>
    <w:rsid w:val="00301AD7"/>
    <w:rsid w:val="00301B64"/>
    <w:rsid w:val="00301E0D"/>
    <w:rsid w:val="00301E29"/>
    <w:rsid w:val="00301E42"/>
    <w:rsid w:val="00301F97"/>
    <w:rsid w:val="00301FF2"/>
    <w:rsid w:val="0030208C"/>
    <w:rsid w:val="003020B3"/>
    <w:rsid w:val="00302118"/>
    <w:rsid w:val="0030229D"/>
    <w:rsid w:val="003022DD"/>
    <w:rsid w:val="003022FF"/>
    <w:rsid w:val="003023B8"/>
    <w:rsid w:val="003024AB"/>
    <w:rsid w:val="003025A3"/>
    <w:rsid w:val="00302689"/>
    <w:rsid w:val="003026F0"/>
    <w:rsid w:val="00302842"/>
    <w:rsid w:val="0030292D"/>
    <w:rsid w:val="00302A7B"/>
    <w:rsid w:val="00302B3B"/>
    <w:rsid w:val="00302BBD"/>
    <w:rsid w:val="00302C7D"/>
    <w:rsid w:val="00302CC6"/>
    <w:rsid w:val="00302D15"/>
    <w:rsid w:val="0030315D"/>
    <w:rsid w:val="00303183"/>
    <w:rsid w:val="00303264"/>
    <w:rsid w:val="00303356"/>
    <w:rsid w:val="00303383"/>
    <w:rsid w:val="003033BC"/>
    <w:rsid w:val="0030342B"/>
    <w:rsid w:val="00303457"/>
    <w:rsid w:val="00303511"/>
    <w:rsid w:val="00303729"/>
    <w:rsid w:val="00303925"/>
    <w:rsid w:val="00303972"/>
    <w:rsid w:val="00303A63"/>
    <w:rsid w:val="00303B06"/>
    <w:rsid w:val="00303C31"/>
    <w:rsid w:val="00303E2C"/>
    <w:rsid w:val="00303E3E"/>
    <w:rsid w:val="00303EB3"/>
    <w:rsid w:val="00303F19"/>
    <w:rsid w:val="003040ED"/>
    <w:rsid w:val="00304173"/>
    <w:rsid w:val="00304273"/>
    <w:rsid w:val="003042CE"/>
    <w:rsid w:val="0030437D"/>
    <w:rsid w:val="00304392"/>
    <w:rsid w:val="003043A3"/>
    <w:rsid w:val="0030458E"/>
    <w:rsid w:val="00304888"/>
    <w:rsid w:val="003049F1"/>
    <w:rsid w:val="00304AC9"/>
    <w:rsid w:val="00304B9C"/>
    <w:rsid w:val="00304D59"/>
    <w:rsid w:val="00304DB4"/>
    <w:rsid w:val="00305117"/>
    <w:rsid w:val="00305169"/>
    <w:rsid w:val="00305197"/>
    <w:rsid w:val="003052EB"/>
    <w:rsid w:val="003053C5"/>
    <w:rsid w:val="003053D3"/>
    <w:rsid w:val="003053EB"/>
    <w:rsid w:val="0030546B"/>
    <w:rsid w:val="00305616"/>
    <w:rsid w:val="0030574B"/>
    <w:rsid w:val="003057A4"/>
    <w:rsid w:val="00305813"/>
    <w:rsid w:val="003058B0"/>
    <w:rsid w:val="00305935"/>
    <w:rsid w:val="0030593D"/>
    <w:rsid w:val="00305BA6"/>
    <w:rsid w:val="00305C74"/>
    <w:rsid w:val="00305D37"/>
    <w:rsid w:val="00305D6B"/>
    <w:rsid w:val="00305E14"/>
    <w:rsid w:val="00305E36"/>
    <w:rsid w:val="00305FA9"/>
    <w:rsid w:val="00306053"/>
    <w:rsid w:val="00306261"/>
    <w:rsid w:val="003062C3"/>
    <w:rsid w:val="0030633D"/>
    <w:rsid w:val="003063C6"/>
    <w:rsid w:val="003064C2"/>
    <w:rsid w:val="003064E6"/>
    <w:rsid w:val="0030665E"/>
    <w:rsid w:val="003066CB"/>
    <w:rsid w:val="0030673E"/>
    <w:rsid w:val="00306753"/>
    <w:rsid w:val="003067CA"/>
    <w:rsid w:val="0030680B"/>
    <w:rsid w:val="00306871"/>
    <w:rsid w:val="00306894"/>
    <w:rsid w:val="003068D1"/>
    <w:rsid w:val="003068D8"/>
    <w:rsid w:val="00306ACB"/>
    <w:rsid w:val="00306AEA"/>
    <w:rsid w:val="00306B04"/>
    <w:rsid w:val="00306B15"/>
    <w:rsid w:val="00306B1C"/>
    <w:rsid w:val="00306B22"/>
    <w:rsid w:val="00306B49"/>
    <w:rsid w:val="00306C95"/>
    <w:rsid w:val="00306CE0"/>
    <w:rsid w:val="00306E30"/>
    <w:rsid w:val="00306E48"/>
    <w:rsid w:val="00306F06"/>
    <w:rsid w:val="003070C2"/>
    <w:rsid w:val="00307125"/>
    <w:rsid w:val="003072E9"/>
    <w:rsid w:val="0030747A"/>
    <w:rsid w:val="003074AA"/>
    <w:rsid w:val="00307520"/>
    <w:rsid w:val="00307588"/>
    <w:rsid w:val="00307599"/>
    <w:rsid w:val="00307837"/>
    <w:rsid w:val="00307883"/>
    <w:rsid w:val="00307965"/>
    <w:rsid w:val="00307A19"/>
    <w:rsid w:val="00307B4E"/>
    <w:rsid w:val="00307C0D"/>
    <w:rsid w:val="00307C22"/>
    <w:rsid w:val="00307DF0"/>
    <w:rsid w:val="00307E3A"/>
    <w:rsid w:val="00307E80"/>
    <w:rsid w:val="00307E8E"/>
    <w:rsid w:val="003101A7"/>
    <w:rsid w:val="003101FC"/>
    <w:rsid w:val="00310454"/>
    <w:rsid w:val="003105F7"/>
    <w:rsid w:val="00310692"/>
    <w:rsid w:val="0031076A"/>
    <w:rsid w:val="003107F7"/>
    <w:rsid w:val="00310826"/>
    <w:rsid w:val="003109AA"/>
    <w:rsid w:val="003109E6"/>
    <w:rsid w:val="003109EC"/>
    <w:rsid w:val="00310A67"/>
    <w:rsid w:val="00310C2B"/>
    <w:rsid w:val="00310D57"/>
    <w:rsid w:val="00310DA3"/>
    <w:rsid w:val="00310F68"/>
    <w:rsid w:val="00310F69"/>
    <w:rsid w:val="0031119E"/>
    <w:rsid w:val="003111FE"/>
    <w:rsid w:val="00311311"/>
    <w:rsid w:val="00311412"/>
    <w:rsid w:val="003115B0"/>
    <w:rsid w:val="003116A2"/>
    <w:rsid w:val="00311728"/>
    <w:rsid w:val="003117A8"/>
    <w:rsid w:val="003117F6"/>
    <w:rsid w:val="0031180D"/>
    <w:rsid w:val="0031194D"/>
    <w:rsid w:val="00311A2C"/>
    <w:rsid w:val="00311B4A"/>
    <w:rsid w:val="00311BCC"/>
    <w:rsid w:val="00311C06"/>
    <w:rsid w:val="00311C68"/>
    <w:rsid w:val="00311D2F"/>
    <w:rsid w:val="00311EE0"/>
    <w:rsid w:val="00311F80"/>
    <w:rsid w:val="0031204B"/>
    <w:rsid w:val="00312084"/>
    <w:rsid w:val="003121A6"/>
    <w:rsid w:val="003121BE"/>
    <w:rsid w:val="00312246"/>
    <w:rsid w:val="003122F4"/>
    <w:rsid w:val="00312465"/>
    <w:rsid w:val="0031267C"/>
    <w:rsid w:val="00312804"/>
    <w:rsid w:val="0031282D"/>
    <w:rsid w:val="00312846"/>
    <w:rsid w:val="00312912"/>
    <w:rsid w:val="003129DA"/>
    <w:rsid w:val="003129E3"/>
    <w:rsid w:val="00312BA3"/>
    <w:rsid w:val="00312DC9"/>
    <w:rsid w:val="00312DDE"/>
    <w:rsid w:val="00312EFA"/>
    <w:rsid w:val="00312F2E"/>
    <w:rsid w:val="0031312B"/>
    <w:rsid w:val="0031315A"/>
    <w:rsid w:val="00313546"/>
    <w:rsid w:val="003135B8"/>
    <w:rsid w:val="00313967"/>
    <w:rsid w:val="00313C1C"/>
    <w:rsid w:val="00313CFF"/>
    <w:rsid w:val="00313D18"/>
    <w:rsid w:val="00313F09"/>
    <w:rsid w:val="003140AF"/>
    <w:rsid w:val="003140BF"/>
    <w:rsid w:val="003142B1"/>
    <w:rsid w:val="003143C2"/>
    <w:rsid w:val="003143D0"/>
    <w:rsid w:val="003144F5"/>
    <w:rsid w:val="0031450C"/>
    <w:rsid w:val="003145F7"/>
    <w:rsid w:val="00314621"/>
    <w:rsid w:val="00314757"/>
    <w:rsid w:val="003148A0"/>
    <w:rsid w:val="003148D6"/>
    <w:rsid w:val="0031499E"/>
    <w:rsid w:val="003149E9"/>
    <w:rsid w:val="00314B9F"/>
    <w:rsid w:val="00314C24"/>
    <w:rsid w:val="00314DDF"/>
    <w:rsid w:val="00314E90"/>
    <w:rsid w:val="00314EE0"/>
    <w:rsid w:val="00314FD5"/>
    <w:rsid w:val="0031504D"/>
    <w:rsid w:val="0031514B"/>
    <w:rsid w:val="0031516A"/>
    <w:rsid w:val="00315218"/>
    <w:rsid w:val="00315347"/>
    <w:rsid w:val="003153B3"/>
    <w:rsid w:val="003157F1"/>
    <w:rsid w:val="00315800"/>
    <w:rsid w:val="00315842"/>
    <w:rsid w:val="00315856"/>
    <w:rsid w:val="0031593B"/>
    <w:rsid w:val="00315BBF"/>
    <w:rsid w:val="00315FC6"/>
    <w:rsid w:val="0031600A"/>
    <w:rsid w:val="00316416"/>
    <w:rsid w:val="00316491"/>
    <w:rsid w:val="00316538"/>
    <w:rsid w:val="0031656B"/>
    <w:rsid w:val="003165BC"/>
    <w:rsid w:val="00316676"/>
    <w:rsid w:val="0031678D"/>
    <w:rsid w:val="00316A95"/>
    <w:rsid w:val="00316C6F"/>
    <w:rsid w:val="00316D0B"/>
    <w:rsid w:val="00316D2C"/>
    <w:rsid w:val="00316E02"/>
    <w:rsid w:val="003171B6"/>
    <w:rsid w:val="0031727E"/>
    <w:rsid w:val="003173AB"/>
    <w:rsid w:val="0031744A"/>
    <w:rsid w:val="00317872"/>
    <w:rsid w:val="00317884"/>
    <w:rsid w:val="00317A8C"/>
    <w:rsid w:val="00317AB3"/>
    <w:rsid w:val="00317B3F"/>
    <w:rsid w:val="00317C6A"/>
    <w:rsid w:val="00317D68"/>
    <w:rsid w:val="00317E41"/>
    <w:rsid w:val="00317E6A"/>
    <w:rsid w:val="00317E84"/>
    <w:rsid w:val="00317FAE"/>
    <w:rsid w:val="00317FD1"/>
    <w:rsid w:val="00317FFD"/>
    <w:rsid w:val="00320042"/>
    <w:rsid w:val="0032018F"/>
    <w:rsid w:val="00320249"/>
    <w:rsid w:val="003203B6"/>
    <w:rsid w:val="003203D1"/>
    <w:rsid w:val="00320457"/>
    <w:rsid w:val="0032054D"/>
    <w:rsid w:val="00320624"/>
    <w:rsid w:val="003206C7"/>
    <w:rsid w:val="003207F2"/>
    <w:rsid w:val="0032091B"/>
    <w:rsid w:val="00320932"/>
    <w:rsid w:val="00320B3B"/>
    <w:rsid w:val="00320B55"/>
    <w:rsid w:val="00320C28"/>
    <w:rsid w:val="00320D27"/>
    <w:rsid w:val="00320D36"/>
    <w:rsid w:val="003210F7"/>
    <w:rsid w:val="0032110E"/>
    <w:rsid w:val="0032136D"/>
    <w:rsid w:val="00321407"/>
    <w:rsid w:val="00321488"/>
    <w:rsid w:val="00321692"/>
    <w:rsid w:val="003216B5"/>
    <w:rsid w:val="0032172F"/>
    <w:rsid w:val="003218FC"/>
    <w:rsid w:val="003219AE"/>
    <w:rsid w:val="00321A9C"/>
    <w:rsid w:val="00321DA3"/>
    <w:rsid w:val="00321EB9"/>
    <w:rsid w:val="00321EF0"/>
    <w:rsid w:val="00321F37"/>
    <w:rsid w:val="00321F58"/>
    <w:rsid w:val="00322009"/>
    <w:rsid w:val="0032206F"/>
    <w:rsid w:val="00322071"/>
    <w:rsid w:val="003220CB"/>
    <w:rsid w:val="00322133"/>
    <w:rsid w:val="00322285"/>
    <w:rsid w:val="003224C3"/>
    <w:rsid w:val="00322555"/>
    <w:rsid w:val="00322565"/>
    <w:rsid w:val="003225C1"/>
    <w:rsid w:val="003227E2"/>
    <w:rsid w:val="0032280B"/>
    <w:rsid w:val="0032296E"/>
    <w:rsid w:val="00322A1E"/>
    <w:rsid w:val="00322A27"/>
    <w:rsid w:val="00322ADB"/>
    <w:rsid w:val="00322C10"/>
    <w:rsid w:val="00322C4C"/>
    <w:rsid w:val="00322C80"/>
    <w:rsid w:val="00322DFC"/>
    <w:rsid w:val="00322E00"/>
    <w:rsid w:val="00322E25"/>
    <w:rsid w:val="0032305F"/>
    <w:rsid w:val="003232F0"/>
    <w:rsid w:val="00323377"/>
    <w:rsid w:val="003233B4"/>
    <w:rsid w:val="003235C3"/>
    <w:rsid w:val="003236B5"/>
    <w:rsid w:val="00323710"/>
    <w:rsid w:val="00323783"/>
    <w:rsid w:val="003239ED"/>
    <w:rsid w:val="00323C4B"/>
    <w:rsid w:val="00323CF1"/>
    <w:rsid w:val="00323E57"/>
    <w:rsid w:val="00323E94"/>
    <w:rsid w:val="00323EAA"/>
    <w:rsid w:val="00323F51"/>
    <w:rsid w:val="003241C6"/>
    <w:rsid w:val="0032424C"/>
    <w:rsid w:val="0032441A"/>
    <w:rsid w:val="00324433"/>
    <w:rsid w:val="003244C4"/>
    <w:rsid w:val="0032450D"/>
    <w:rsid w:val="00324517"/>
    <w:rsid w:val="003245D4"/>
    <w:rsid w:val="00324619"/>
    <w:rsid w:val="00324828"/>
    <w:rsid w:val="00324891"/>
    <w:rsid w:val="00324AA0"/>
    <w:rsid w:val="00324B3C"/>
    <w:rsid w:val="00324B66"/>
    <w:rsid w:val="00324BB9"/>
    <w:rsid w:val="00324C1A"/>
    <w:rsid w:val="00324D40"/>
    <w:rsid w:val="00324E54"/>
    <w:rsid w:val="00324EE3"/>
    <w:rsid w:val="00324F07"/>
    <w:rsid w:val="003252E8"/>
    <w:rsid w:val="003257F8"/>
    <w:rsid w:val="003258A4"/>
    <w:rsid w:val="00325A0B"/>
    <w:rsid w:val="00325BE9"/>
    <w:rsid w:val="00325C18"/>
    <w:rsid w:val="00325C39"/>
    <w:rsid w:val="00325DB9"/>
    <w:rsid w:val="00326084"/>
    <w:rsid w:val="003260C7"/>
    <w:rsid w:val="00326118"/>
    <w:rsid w:val="003262AC"/>
    <w:rsid w:val="003262BD"/>
    <w:rsid w:val="00326302"/>
    <w:rsid w:val="003263E8"/>
    <w:rsid w:val="00326428"/>
    <w:rsid w:val="00326544"/>
    <w:rsid w:val="003265DA"/>
    <w:rsid w:val="0032671C"/>
    <w:rsid w:val="0032674D"/>
    <w:rsid w:val="003267C6"/>
    <w:rsid w:val="003267D8"/>
    <w:rsid w:val="0032685F"/>
    <w:rsid w:val="003268D5"/>
    <w:rsid w:val="00326962"/>
    <w:rsid w:val="00326A17"/>
    <w:rsid w:val="00326A1B"/>
    <w:rsid w:val="00326A32"/>
    <w:rsid w:val="00326DC9"/>
    <w:rsid w:val="00326E1C"/>
    <w:rsid w:val="00326E42"/>
    <w:rsid w:val="00326EF6"/>
    <w:rsid w:val="00326FEA"/>
    <w:rsid w:val="00326FFD"/>
    <w:rsid w:val="0032705A"/>
    <w:rsid w:val="00327169"/>
    <w:rsid w:val="003271A0"/>
    <w:rsid w:val="003271DD"/>
    <w:rsid w:val="0032723C"/>
    <w:rsid w:val="0032727D"/>
    <w:rsid w:val="003274DC"/>
    <w:rsid w:val="00327538"/>
    <w:rsid w:val="003275E2"/>
    <w:rsid w:val="00327668"/>
    <w:rsid w:val="0032771F"/>
    <w:rsid w:val="0032781D"/>
    <w:rsid w:val="00327929"/>
    <w:rsid w:val="00327A77"/>
    <w:rsid w:val="00327AA9"/>
    <w:rsid w:val="00327AAE"/>
    <w:rsid w:val="00327AD3"/>
    <w:rsid w:val="00327C67"/>
    <w:rsid w:val="00327D25"/>
    <w:rsid w:val="00327DC4"/>
    <w:rsid w:val="00327F48"/>
    <w:rsid w:val="00327FC3"/>
    <w:rsid w:val="00330012"/>
    <w:rsid w:val="00330048"/>
    <w:rsid w:val="00330058"/>
    <w:rsid w:val="00330076"/>
    <w:rsid w:val="003304E5"/>
    <w:rsid w:val="00330506"/>
    <w:rsid w:val="003305F5"/>
    <w:rsid w:val="00330822"/>
    <w:rsid w:val="003309D0"/>
    <w:rsid w:val="00330A0C"/>
    <w:rsid w:val="00330A61"/>
    <w:rsid w:val="00330A68"/>
    <w:rsid w:val="00330AC0"/>
    <w:rsid w:val="00330AD6"/>
    <w:rsid w:val="00330B0A"/>
    <w:rsid w:val="00330B60"/>
    <w:rsid w:val="00330B6F"/>
    <w:rsid w:val="00330B9D"/>
    <w:rsid w:val="00330C7A"/>
    <w:rsid w:val="00330ECD"/>
    <w:rsid w:val="00331026"/>
    <w:rsid w:val="003310D6"/>
    <w:rsid w:val="003310E7"/>
    <w:rsid w:val="003310F7"/>
    <w:rsid w:val="003311EB"/>
    <w:rsid w:val="0033149E"/>
    <w:rsid w:val="003314CC"/>
    <w:rsid w:val="00331649"/>
    <w:rsid w:val="00331651"/>
    <w:rsid w:val="0033177D"/>
    <w:rsid w:val="00331ADB"/>
    <w:rsid w:val="00331D4E"/>
    <w:rsid w:val="00331DD6"/>
    <w:rsid w:val="00331E08"/>
    <w:rsid w:val="00331EFE"/>
    <w:rsid w:val="00332067"/>
    <w:rsid w:val="0033221F"/>
    <w:rsid w:val="00332259"/>
    <w:rsid w:val="003323D5"/>
    <w:rsid w:val="0033250B"/>
    <w:rsid w:val="0033265B"/>
    <w:rsid w:val="00332765"/>
    <w:rsid w:val="00332839"/>
    <w:rsid w:val="00332964"/>
    <w:rsid w:val="00332AD7"/>
    <w:rsid w:val="00332B17"/>
    <w:rsid w:val="00332B5B"/>
    <w:rsid w:val="00332B5D"/>
    <w:rsid w:val="00332BDE"/>
    <w:rsid w:val="00332DDF"/>
    <w:rsid w:val="00332F11"/>
    <w:rsid w:val="00332F52"/>
    <w:rsid w:val="00332F71"/>
    <w:rsid w:val="00332F7A"/>
    <w:rsid w:val="00332FA6"/>
    <w:rsid w:val="00332FB7"/>
    <w:rsid w:val="00333078"/>
    <w:rsid w:val="0033307A"/>
    <w:rsid w:val="00333096"/>
    <w:rsid w:val="003332F8"/>
    <w:rsid w:val="00333391"/>
    <w:rsid w:val="003334B9"/>
    <w:rsid w:val="0033370E"/>
    <w:rsid w:val="003337BA"/>
    <w:rsid w:val="0033381B"/>
    <w:rsid w:val="00333823"/>
    <w:rsid w:val="00333848"/>
    <w:rsid w:val="00333985"/>
    <w:rsid w:val="00333988"/>
    <w:rsid w:val="00333B40"/>
    <w:rsid w:val="00333BCD"/>
    <w:rsid w:val="00333C0A"/>
    <w:rsid w:val="00333C44"/>
    <w:rsid w:val="00333C89"/>
    <w:rsid w:val="00333D12"/>
    <w:rsid w:val="00333D2E"/>
    <w:rsid w:val="00333E18"/>
    <w:rsid w:val="0033404F"/>
    <w:rsid w:val="00334207"/>
    <w:rsid w:val="0033421E"/>
    <w:rsid w:val="00334336"/>
    <w:rsid w:val="003344DE"/>
    <w:rsid w:val="003345DA"/>
    <w:rsid w:val="003345ED"/>
    <w:rsid w:val="00334660"/>
    <w:rsid w:val="0033469A"/>
    <w:rsid w:val="0033471F"/>
    <w:rsid w:val="00334871"/>
    <w:rsid w:val="00334A3A"/>
    <w:rsid w:val="00334B6C"/>
    <w:rsid w:val="00334EE4"/>
    <w:rsid w:val="00334F1C"/>
    <w:rsid w:val="00334F60"/>
    <w:rsid w:val="003350CA"/>
    <w:rsid w:val="00335223"/>
    <w:rsid w:val="003353C6"/>
    <w:rsid w:val="003354D8"/>
    <w:rsid w:val="003354DA"/>
    <w:rsid w:val="00335523"/>
    <w:rsid w:val="0033561B"/>
    <w:rsid w:val="00335624"/>
    <w:rsid w:val="00335910"/>
    <w:rsid w:val="00335A0B"/>
    <w:rsid w:val="00335A36"/>
    <w:rsid w:val="00335A6E"/>
    <w:rsid w:val="00335ABD"/>
    <w:rsid w:val="00335B1B"/>
    <w:rsid w:val="00335BB8"/>
    <w:rsid w:val="00335C0A"/>
    <w:rsid w:val="00335C38"/>
    <w:rsid w:val="00335CA9"/>
    <w:rsid w:val="00335D11"/>
    <w:rsid w:val="00335D73"/>
    <w:rsid w:val="00335DB2"/>
    <w:rsid w:val="00335DDF"/>
    <w:rsid w:val="00335E54"/>
    <w:rsid w:val="00335FC4"/>
    <w:rsid w:val="0033613E"/>
    <w:rsid w:val="003361CD"/>
    <w:rsid w:val="00336230"/>
    <w:rsid w:val="003363F7"/>
    <w:rsid w:val="00336407"/>
    <w:rsid w:val="00336576"/>
    <w:rsid w:val="00336624"/>
    <w:rsid w:val="003366FB"/>
    <w:rsid w:val="003368EE"/>
    <w:rsid w:val="003369BF"/>
    <w:rsid w:val="00336A7B"/>
    <w:rsid w:val="00336AE5"/>
    <w:rsid w:val="00336B0A"/>
    <w:rsid w:val="00336B1F"/>
    <w:rsid w:val="00336B73"/>
    <w:rsid w:val="00336B78"/>
    <w:rsid w:val="00336B9F"/>
    <w:rsid w:val="00336BB1"/>
    <w:rsid w:val="00336D0C"/>
    <w:rsid w:val="00336E60"/>
    <w:rsid w:val="00336E78"/>
    <w:rsid w:val="00336ED8"/>
    <w:rsid w:val="00336FAF"/>
    <w:rsid w:val="00336FC4"/>
    <w:rsid w:val="003370EF"/>
    <w:rsid w:val="00337178"/>
    <w:rsid w:val="00337187"/>
    <w:rsid w:val="00337215"/>
    <w:rsid w:val="00337246"/>
    <w:rsid w:val="0033727A"/>
    <w:rsid w:val="003372DE"/>
    <w:rsid w:val="00337424"/>
    <w:rsid w:val="0033755F"/>
    <w:rsid w:val="00337694"/>
    <w:rsid w:val="003378EB"/>
    <w:rsid w:val="00337919"/>
    <w:rsid w:val="00337B3A"/>
    <w:rsid w:val="00337B84"/>
    <w:rsid w:val="00337BCB"/>
    <w:rsid w:val="00337E13"/>
    <w:rsid w:val="00337E77"/>
    <w:rsid w:val="00337EEF"/>
    <w:rsid w:val="00337F2E"/>
    <w:rsid w:val="00340020"/>
    <w:rsid w:val="0034013D"/>
    <w:rsid w:val="0034014A"/>
    <w:rsid w:val="00340174"/>
    <w:rsid w:val="00340321"/>
    <w:rsid w:val="003403FB"/>
    <w:rsid w:val="00340503"/>
    <w:rsid w:val="00340642"/>
    <w:rsid w:val="003407A3"/>
    <w:rsid w:val="0034087F"/>
    <w:rsid w:val="003408A9"/>
    <w:rsid w:val="0034095E"/>
    <w:rsid w:val="00340B09"/>
    <w:rsid w:val="00340B16"/>
    <w:rsid w:val="00340B43"/>
    <w:rsid w:val="00340DCB"/>
    <w:rsid w:val="00340E69"/>
    <w:rsid w:val="00340FC6"/>
    <w:rsid w:val="00340FFA"/>
    <w:rsid w:val="003411DC"/>
    <w:rsid w:val="0034120C"/>
    <w:rsid w:val="0034121E"/>
    <w:rsid w:val="0034123F"/>
    <w:rsid w:val="0034126E"/>
    <w:rsid w:val="00341322"/>
    <w:rsid w:val="003413FC"/>
    <w:rsid w:val="003414FE"/>
    <w:rsid w:val="0034159B"/>
    <w:rsid w:val="003416AB"/>
    <w:rsid w:val="003416C9"/>
    <w:rsid w:val="00341748"/>
    <w:rsid w:val="00341779"/>
    <w:rsid w:val="003417A5"/>
    <w:rsid w:val="003417EE"/>
    <w:rsid w:val="00341813"/>
    <w:rsid w:val="003418A6"/>
    <w:rsid w:val="00341967"/>
    <w:rsid w:val="003419DC"/>
    <w:rsid w:val="003419E8"/>
    <w:rsid w:val="003419F6"/>
    <w:rsid w:val="00341A67"/>
    <w:rsid w:val="00341B8E"/>
    <w:rsid w:val="00341C65"/>
    <w:rsid w:val="00341C76"/>
    <w:rsid w:val="00341D02"/>
    <w:rsid w:val="00341DF0"/>
    <w:rsid w:val="00341F0F"/>
    <w:rsid w:val="0034203A"/>
    <w:rsid w:val="00342059"/>
    <w:rsid w:val="003420EA"/>
    <w:rsid w:val="0034210F"/>
    <w:rsid w:val="00342158"/>
    <w:rsid w:val="0034227A"/>
    <w:rsid w:val="003423F4"/>
    <w:rsid w:val="0034250B"/>
    <w:rsid w:val="00342553"/>
    <w:rsid w:val="003425D6"/>
    <w:rsid w:val="003425EC"/>
    <w:rsid w:val="003427AB"/>
    <w:rsid w:val="00342887"/>
    <w:rsid w:val="003428B2"/>
    <w:rsid w:val="00342A07"/>
    <w:rsid w:val="00342A98"/>
    <w:rsid w:val="00342CFC"/>
    <w:rsid w:val="00342E5C"/>
    <w:rsid w:val="00342EB7"/>
    <w:rsid w:val="00343515"/>
    <w:rsid w:val="003436A5"/>
    <w:rsid w:val="00343738"/>
    <w:rsid w:val="00343B46"/>
    <w:rsid w:val="00343B56"/>
    <w:rsid w:val="00343E20"/>
    <w:rsid w:val="0034403D"/>
    <w:rsid w:val="00344281"/>
    <w:rsid w:val="0034428A"/>
    <w:rsid w:val="0034430C"/>
    <w:rsid w:val="003443C5"/>
    <w:rsid w:val="0034445F"/>
    <w:rsid w:val="003446B3"/>
    <w:rsid w:val="003446F6"/>
    <w:rsid w:val="003448F5"/>
    <w:rsid w:val="003448F6"/>
    <w:rsid w:val="00344A94"/>
    <w:rsid w:val="00344C6A"/>
    <w:rsid w:val="00344E3A"/>
    <w:rsid w:val="00345081"/>
    <w:rsid w:val="0034513B"/>
    <w:rsid w:val="00345144"/>
    <w:rsid w:val="00345557"/>
    <w:rsid w:val="0034588B"/>
    <w:rsid w:val="00345A46"/>
    <w:rsid w:val="00345BF7"/>
    <w:rsid w:val="00345C05"/>
    <w:rsid w:val="00345D03"/>
    <w:rsid w:val="00345D91"/>
    <w:rsid w:val="00345DA7"/>
    <w:rsid w:val="00345EF5"/>
    <w:rsid w:val="00346030"/>
    <w:rsid w:val="003462D8"/>
    <w:rsid w:val="00346455"/>
    <w:rsid w:val="00346461"/>
    <w:rsid w:val="003465F0"/>
    <w:rsid w:val="003466B4"/>
    <w:rsid w:val="00346729"/>
    <w:rsid w:val="003467E2"/>
    <w:rsid w:val="0034684E"/>
    <w:rsid w:val="003468B8"/>
    <w:rsid w:val="003468B9"/>
    <w:rsid w:val="003469E5"/>
    <w:rsid w:val="00346AB5"/>
    <w:rsid w:val="00346B87"/>
    <w:rsid w:val="00346C75"/>
    <w:rsid w:val="00346DA3"/>
    <w:rsid w:val="00346E79"/>
    <w:rsid w:val="00346F4B"/>
    <w:rsid w:val="003471EF"/>
    <w:rsid w:val="0034739E"/>
    <w:rsid w:val="0034740A"/>
    <w:rsid w:val="0034749B"/>
    <w:rsid w:val="0034755D"/>
    <w:rsid w:val="00347625"/>
    <w:rsid w:val="003476AA"/>
    <w:rsid w:val="003476B2"/>
    <w:rsid w:val="003476CB"/>
    <w:rsid w:val="003476F5"/>
    <w:rsid w:val="0034777E"/>
    <w:rsid w:val="00347874"/>
    <w:rsid w:val="00347885"/>
    <w:rsid w:val="003478E9"/>
    <w:rsid w:val="003479FE"/>
    <w:rsid w:val="00347A0C"/>
    <w:rsid w:val="00347A43"/>
    <w:rsid w:val="00347A98"/>
    <w:rsid w:val="00347B0E"/>
    <w:rsid w:val="00347B20"/>
    <w:rsid w:val="00347CEA"/>
    <w:rsid w:val="00347CFB"/>
    <w:rsid w:val="00347D18"/>
    <w:rsid w:val="00347E2E"/>
    <w:rsid w:val="00347EE1"/>
    <w:rsid w:val="00347FD3"/>
    <w:rsid w:val="003500CB"/>
    <w:rsid w:val="003500DF"/>
    <w:rsid w:val="003501F5"/>
    <w:rsid w:val="003502D4"/>
    <w:rsid w:val="003503CB"/>
    <w:rsid w:val="0035053D"/>
    <w:rsid w:val="003506D4"/>
    <w:rsid w:val="00350759"/>
    <w:rsid w:val="003508A5"/>
    <w:rsid w:val="003508AE"/>
    <w:rsid w:val="00350943"/>
    <w:rsid w:val="00350999"/>
    <w:rsid w:val="00350A0A"/>
    <w:rsid w:val="00350A31"/>
    <w:rsid w:val="00350B89"/>
    <w:rsid w:val="00350DFF"/>
    <w:rsid w:val="00350F16"/>
    <w:rsid w:val="00350FCA"/>
    <w:rsid w:val="00350FDD"/>
    <w:rsid w:val="0035101D"/>
    <w:rsid w:val="003511A8"/>
    <w:rsid w:val="003511AB"/>
    <w:rsid w:val="003511E8"/>
    <w:rsid w:val="003511EF"/>
    <w:rsid w:val="00351212"/>
    <w:rsid w:val="003512F7"/>
    <w:rsid w:val="003513B9"/>
    <w:rsid w:val="003514B3"/>
    <w:rsid w:val="003515D6"/>
    <w:rsid w:val="00351800"/>
    <w:rsid w:val="003518BD"/>
    <w:rsid w:val="003519D5"/>
    <w:rsid w:val="003519D9"/>
    <w:rsid w:val="00351A6F"/>
    <w:rsid w:val="00351A80"/>
    <w:rsid w:val="00351C3F"/>
    <w:rsid w:val="00351C6F"/>
    <w:rsid w:val="00351CAA"/>
    <w:rsid w:val="00351D5B"/>
    <w:rsid w:val="00351EF8"/>
    <w:rsid w:val="003520BE"/>
    <w:rsid w:val="0035212D"/>
    <w:rsid w:val="00352144"/>
    <w:rsid w:val="00352185"/>
    <w:rsid w:val="003521F0"/>
    <w:rsid w:val="003523B7"/>
    <w:rsid w:val="003523EF"/>
    <w:rsid w:val="0035259E"/>
    <w:rsid w:val="003528F5"/>
    <w:rsid w:val="00352910"/>
    <w:rsid w:val="00352AAD"/>
    <w:rsid w:val="00352AFB"/>
    <w:rsid w:val="00352B20"/>
    <w:rsid w:val="00352B31"/>
    <w:rsid w:val="00352C40"/>
    <w:rsid w:val="00352D38"/>
    <w:rsid w:val="00352DEF"/>
    <w:rsid w:val="00352E5E"/>
    <w:rsid w:val="00352EA2"/>
    <w:rsid w:val="00352EDB"/>
    <w:rsid w:val="00352EEB"/>
    <w:rsid w:val="00352F2F"/>
    <w:rsid w:val="00353199"/>
    <w:rsid w:val="00353220"/>
    <w:rsid w:val="003532CF"/>
    <w:rsid w:val="00353344"/>
    <w:rsid w:val="003534FB"/>
    <w:rsid w:val="00353589"/>
    <w:rsid w:val="003536E1"/>
    <w:rsid w:val="00353991"/>
    <w:rsid w:val="00353A3C"/>
    <w:rsid w:val="00353AD6"/>
    <w:rsid w:val="00353B86"/>
    <w:rsid w:val="00353B8E"/>
    <w:rsid w:val="00353D5B"/>
    <w:rsid w:val="00353F31"/>
    <w:rsid w:val="003542DF"/>
    <w:rsid w:val="003542FC"/>
    <w:rsid w:val="00354335"/>
    <w:rsid w:val="003545AC"/>
    <w:rsid w:val="003545BB"/>
    <w:rsid w:val="00354634"/>
    <w:rsid w:val="00354715"/>
    <w:rsid w:val="00354A8B"/>
    <w:rsid w:val="00354AA5"/>
    <w:rsid w:val="00354AF9"/>
    <w:rsid w:val="00354B7A"/>
    <w:rsid w:val="00354BFE"/>
    <w:rsid w:val="00354C8A"/>
    <w:rsid w:val="00354D27"/>
    <w:rsid w:val="00354DC3"/>
    <w:rsid w:val="00354DD7"/>
    <w:rsid w:val="00354E6D"/>
    <w:rsid w:val="003550E4"/>
    <w:rsid w:val="0035533E"/>
    <w:rsid w:val="003553D8"/>
    <w:rsid w:val="0035549B"/>
    <w:rsid w:val="003554EA"/>
    <w:rsid w:val="00355775"/>
    <w:rsid w:val="003557A9"/>
    <w:rsid w:val="00355AAA"/>
    <w:rsid w:val="00355ABC"/>
    <w:rsid w:val="00355ED0"/>
    <w:rsid w:val="00356017"/>
    <w:rsid w:val="0035616E"/>
    <w:rsid w:val="00356180"/>
    <w:rsid w:val="003563F7"/>
    <w:rsid w:val="00356402"/>
    <w:rsid w:val="00356432"/>
    <w:rsid w:val="00356487"/>
    <w:rsid w:val="0035665D"/>
    <w:rsid w:val="0035668B"/>
    <w:rsid w:val="00356691"/>
    <w:rsid w:val="003568C7"/>
    <w:rsid w:val="00356B5C"/>
    <w:rsid w:val="00356B71"/>
    <w:rsid w:val="00356D6F"/>
    <w:rsid w:val="00356EA6"/>
    <w:rsid w:val="00356ED0"/>
    <w:rsid w:val="0035702B"/>
    <w:rsid w:val="0035711C"/>
    <w:rsid w:val="00357120"/>
    <w:rsid w:val="00357132"/>
    <w:rsid w:val="003571CD"/>
    <w:rsid w:val="0035724E"/>
    <w:rsid w:val="00357375"/>
    <w:rsid w:val="0035738A"/>
    <w:rsid w:val="003573A3"/>
    <w:rsid w:val="0035750B"/>
    <w:rsid w:val="00357551"/>
    <w:rsid w:val="0035757F"/>
    <w:rsid w:val="003576B3"/>
    <w:rsid w:val="003576BB"/>
    <w:rsid w:val="00357725"/>
    <w:rsid w:val="003577AE"/>
    <w:rsid w:val="00357A11"/>
    <w:rsid w:val="00357A55"/>
    <w:rsid w:val="00357B40"/>
    <w:rsid w:val="00357BAB"/>
    <w:rsid w:val="00357CEA"/>
    <w:rsid w:val="00357DA4"/>
    <w:rsid w:val="00357DDB"/>
    <w:rsid w:val="00357E69"/>
    <w:rsid w:val="00357E9A"/>
    <w:rsid w:val="00357F07"/>
    <w:rsid w:val="00360122"/>
    <w:rsid w:val="00360189"/>
    <w:rsid w:val="00360239"/>
    <w:rsid w:val="00360303"/>
    <w:rsid w:val="00360377"/>
    <w:rsid w:val="00360555"/>
    <w:rsid w:val="0036069D"/>
    <w:rsid w:val="0036077C"/>
    <w:rsid w:val="003608A4"/>
    <w:rsid w:val="0036097F"/>
    <w:rsid w:val="00360AEC"/>
    <w:rsid w:val="00360B39"/>
    <w:rsid w:val="00360B50"/>
    <w:rsid w:val="00360C8F"/>
    <w:rsid w:val="00360C9D"/>
    <w:rsid w:val="00360D39"/>
    <w:rsid w:val="00360DF9"/>
    <w:rsid w:val="00360F38"/>
    <w:rsid w:val="00360F63"/>
    <w:rsid w:val="0036113C"/>
    <w:rsid w:val="00361313"/>
    <w:rsid w:val="00361533"/>
    <w:rsid w:val="0036167B"/>
    <w:rsid w:val="00361700"/>
    <w:rsid w:val="003617AF"/>
    <w:rsid w:val="003619CF"/>
    <w:rsid w:val="003619FB"/>
    <w:rsid w:val="00361A7B"/>
    <w:rsid w:val="00361B4C"/>
    <w:rsid w:val="00361BEB"/>
    <w:rsid w:val="00361D4B"/>
    <w:rsid w:val="00361EBB"/>
    <w:rsid w:val="00361F29"/>
    <w:rsid w:val="00361F96"/>
    <w:rsid w:val="00361FCA"/>
    <w:rsid w:val="00362011"/>
    <w:rsid w:val="003620D3"/>
    <w:rsid w:val="00362199"/>
    <w:rsid w:val="003624F4"/>
    <w:rsid w:val="003625ED"/>
    <w:rsid w:val="003626DC"/>
    <w:rsid w:val="0036270B"/>
    <w:rsid w:val="00362729"/>
    <w:rsid w:val="00362941"/>
    <w:rsid w:val="00362C47"/>
    <w:rsid w:val="00362C78"/>
    <w:rsid w:val="00362D5F"/>
    <w:rsid w:val="00362D98"/>
    <w:rsid w:val="00362EA1"/>
    <w:rsid w:val="00362F18"/>
    <w:rsid w:val="00362F3E"/>
    <w:rsid w:val="00362F83"/>
    <w:rsid w:val="00362FB6"/>
    <w:rsid w:val="0036312E"/>
    <w:rsid w:val="00363153"/>
    <w:rsid w:val="003632FE"/>
    <w:rsid w:val="00363393"/>
    <w:rsid w:val="00363477"/>
    <w:rsid w:val="003635A3"/>
    <w:rsid w:val="003636CB"/>
    <w:rsid w:val="00363BE9"/>
    <w:rsid w:val="00363FC9"/>
    <w:rsid w:val="00363FDE"/>
    <w:rsid w:val="0036412F"/>
    <w:rsid w:val="00364249"/>
    <w:rsid w:val="00364344"/>
    <w:rsid w:val="003643EF"/>
    <w:rsid w:val="00364431"/>
    <w:rsid w:val="003645A5"/>
    <w:rsid w:val="003646B9"/>
    <w:rsid w:val="003646F6"/>
    <w:rsid w:val="003647C5"/>
    <w:rsid w:val="00364842"/>
    <w:rsid w:val="0036490D"/>
    <w:rsid w:val="00364A31"/>
    <w:rsid w:val="00364C9D"/>
    <w:rsid w:val="00364CD7"/>
    <w:rsid w:val="00364D3B"/>
    <w:rsid w:val="00364D47"/>
    <w:rsid w:val="00364D65"/>
    <w:rsid w:val="00364DE6"/>
    <w:rsid w:val="00364E93"/>
    <w:rsid w:val="00364EB6"/>
    <w:rsid w:val="00364F25"/>
    <w:rsid w:val="00364F99"/>
    <w:rsid w:val="003652DF"/>
    <w:rsid w:val="00365429"/>
    <w:rsid w:val="00365476"/>
    <w:rsid w:val="0036551F"/>
    <w:rsid w:val="00365757"/>
    <w:rsid w:val="0036576A"/>
    <w:rsid w:val="00365784"/>
    <w:rsid w:val="00365A03"/>
    <w:rsid w:val="00365A41"/>
    <w:rsid w:val="00365A72"/>
    <w:rsid w:val="00365B47"/>
    <w:rsid w:val="00365EA2"/>
    <w:rsid w:val="00365EB0"/>
    <w:rsid w:val="00365FAB"/>
    <w:rsid w:val="00365FB8"/>
    <w:rsid w:val="00366017"/>
    <w:rsid w:val="003660B4"/>
    <w:rsid w:val="003660B8"/>
    <w:rsid w:val="00366150"/>
    <w:rsid w:val="0036620E"/>
    <w:rsid w:val="003662D6"/>
    <w:rsid w:val="0036633E"/>
    <w:rsid w:val="003665DC"/>
    <w:rsid w:val="0036661D"/>
    <w:rsid w:val="003666FE"/>
    <w:rsid w:val="0036672F"/>
    <w:rsid w:val="003667B7"/>
    <w:rsid w:val="0036684B"/>
    <w:rsid w:val="003669B2"/>
    <w:rsid w:val="003669CB"/>
    <w:rsid w:val="00366ADC"/>
    <w:rsid w:val="00366B26"/>
    <w:rsid w:val="00366BFB"/>
    <w:rsid w:val="00366C9C"/>
    <w:rsid w:val="00366CD5"/>
    <w:rsid w:val="00366CD6"/>
    <w:rsid w:val="00366E22"/>
    <w:rsid w:val="00366FDF"/>
    <w:rsid w:val="00366FF2"/>
    <w:rsid w:val="00366FF3"/>
    <w:rsid w:val="00367015"/>
    <w:rsid w:val="00367277"/>
    <w:rsid w:val="00367290"/>
    <w:rsid w:val="003672A6"/>
    <w:rsid w:val="003673BA"/>
    <w:rsid w:val="0036749F"/>
    <w:rsid w:val="00367793"/>
    <w:rsid w:val="0036787C"/>
    <w:rsid w:val="003678CC"/>
    <w:rsid w:val="00367A87"/>
    <w:rsid w:val="00367AA1"/>
    <w:rsid w:val="00367ABC"/>
    <w:rsid w:val="00367ADB"/>
    <w:rsid w:val="00367C06"/>
    <w:rsid w:val="00367D20"/>
    <w:rsid w:val="00367D80"/>
    <w:rsid w:val="00367DA8"/>
    <w:rsid w:val="00367E65"/>
    <w:rsid w:val="0037030E"/>
    <w:rsid w:val="0037032F"/>
    <w:rsid w:val="003703B1"/>
    <w:rsid w:val="003705A1"/>
    <w:rsid w:val="003705A5"/>
    <w:rsid w:val="003705EF"/>
    <w:rsid w:val="0037063A"/>
    <w:rsid w:val="003706ED"/>
    <w:rsid w:val="00370776"/>
    <w:rsid w:val="00370788"/>
    <w:rsid w:val="00370802"/>
    <w:rsid w:val="003708AC"/>
    <w:rsid w:val="003708BE"/>
    <w:rsid w:val="003708D2"/>
    <w:rsid w:val="003709B2"/>
    <w:rsid w:val="00370B1A"/>
    <w:rsid w:val="00370BC3"/>
    <w:rsid w:val="00370E4B"/>
    <w:rsid w:val="00370E9B"/>
    <w:rsid w:val="00370F75"/>
    <w:rsid w:val="00371364"/>
    <w:rsid w:val="003714B0"/>
    <w:rsid w:val="00371553"/>
    <w:rsid w:val="0037167F"/>
    <w:rsid w:val="003716C0"/>
    <w:rsid w:val="00371ACB"/>
    <w:rsid w:val="00371C45"/>
    <w:rsid w:val="00371C82"/>
    <w:rsid w:val="00371DA8"/>
    <w:rsid w:val="00371E7C"/>
    <w:rsid w:val="0037211F"/>
    <w:rsid w:val="003721D1"/>
    <w:rsid w:val="0037221A"/>
    <w:rsid w:val="00372408"/>
    <w:rsid w:val="00372465"/>
    <w:rsid w:val="0037264A"/>
    <w:rsid w:val="0037272B"/>
    <w:rsid w:val="003727CE"/>
    <w:rsid w:val="00372811"/>
    <w:rsid w:val="0037296C"/>
    <w:rsid w:val="0037299E"/>
    <w:rsid w:val="003729EA"/>
    <w:rsid w:val="00372AE4"/>
    <w:rsid w:val="00372AF3"/>
    <w:rsid w:val="00372B88"/>
    <w:rsid w:val="00372C28"/>
    <w:rsid w:val="00372E53"/>
    <w:rsid w:val="00372ED9"/>
    <w:rsid w:val="00372F1B"/>
    <w:rsid w:val="00372F3E"/>
    <w:rsid w:val="00372F5E"/>
    <w:rsid w:val="00372FB1"/>
    <w:rsid w:val="003731E8"/>
    <w:rsid w:val="003734C3"/>
    <w:rsid w:val="00373685"/>
    <w:rsid w:val="003736D0"/>
    <w:rsid w:val="003736E4"/>
    <w:rsid w:val="003737EF"/>
    <w:rsid w:val="003738EF"/>
    <w:rsid w:val="00373ABA"/>
    <w:rsid w:val="00373F7B"/>
    <w:rsid w:val="00373F83"/>
    <w:rsid w:val="00374019"/>
    <w:rsid w:val="00374231"/>
    <w:rsid w:val="0037433A"/>
    <w:rsid w:val="0037439D"/>
    <w:rsid w:val="00374499"/>
    <w:rsid w:val="00374517"/>
    <w:rsid w:val="0037454A"/>
    <w:rsid w:val="003745E3"/>
    <w:rsid w:val="003745EF"/>
    <w:rsid w:val="00374754"/>
    <w:rsid w:val="00374808"/>
    <w:rsid w:val="003748D0"/>
    <w:rsid w:val="003749F4"/>
    <w:rsid w:val="00374AAC"/>
    <w:rsid w:val="00374BD7"/>
    <w:rsid w:val="00374BDE"/>
    <w:rsid w:val="00374C6C"/>
    <w:rsid w:val="00375126"/>
    <w:rsid w:val="0037526E"/>
    <w:rsid w:val="00375281"/>
    <w:rsid w:val="00375444"/>
    <w:rsid w:val="0037547F"/>
    <w:rsid w:val="00375533"/>
    <w:rsid w:val="00375655"/>
    <w:rsid w:val="0037592C"/>
    <w:rsid w:val="00375A6F"/>
    <w:rsid w:val="00375A9B"/>
    <w:rsid w:val="00375B45"/>
    <w:rsid w:val="00375B90"/>
    <w:rsid w:val="00375C52"/>
    <w:rsid w:val="00375CA7"/>
    <w:rsid w:val="00375CC5"/>
    <w:rsid w:val="0037608E"/>
    <w:rsid w:val="00376092"/>
    <w:rsid w:val="00376140"/>
    <w:rsid w:val="003762B2"/>
    <w:rsid w:val="003765EF"/>
    <w:rsid w:val="0037689D"/>
    <w:rsid w:val="0037697D"/>
    <w:rsid w:val="003769DC"/>
    <w:rsid w:val="003769EE"/>
    <w:rsid w:val="00376A16"/>
    <w:rsid w:val="00376D65"/>
    <w:rsid w:val="00376FF0"/>
    <w:rsid w:val="003770E2"/>
    <w:rsid w:val="0037710E"/>
    <w:rsid w:val="00377394"/>
    <w:rsid w:val="003775FF"/>
    <w:rsid w:val="00377835"/>
    <w:rsid w:val="00377882"/>
    <w:rsid w:val="003779DF"/>
    <w:rsid w:val="00377D1D"/>
    <w:rsid w:val="00377D37"/>
    <w:rsid w:val="00377D4D"/>
    <w:rsid w:val="00377D6F"/>
    <w:rsid w:val="00377F53"/>
    <w:rsid w:val="00377FAB"/>
    <w:rsid w:val="00380279"/>
    <w:rsid w:val="003802CC"/>
    <w:rsid w:val="00380339"/>
    <w:rsid w:val="0038065C"/>
    <w:rsid w:val="003807F6"/>
    <w:rsid w:val="0038080C"/>
    <w:rsid w:val="0038091E"/>
    <w:rsid w:val="0038094F"/>
    <w:rsid w:val="00380AFE"/>
    <w:rsid w:val="00380B52"/>
    <w:rsid w:val="00380DEA"/>
    <w:rsid w:val="00380E47"/>
    <w:rsid w:val="00381268"/>
    <w:rsid w:val="00381441"/>
    <w:rsid w:val="0038153F"/>
    <w:rsid w:val="00381574"/>
    <w:rsid w:val="003815EA"/>
    <w:rsid w:val="00381616"/>
    <w:rsid w:val="0038165D"/>
    <w:rsid w:val="0038178E"/>
    <w:rsid w:val="003817D9"/>
    <w:rsid w:val="00381846"/>
    <w:rsid w:val="003818FC"/>
    <w:rsid w:val="0038194D"/>
    <w:rsid w:val="00381A34"/>
    <w:rsid w:val="00381B75"/>
    <w:rsid w:val="00381C2D"/>
    <w:rsid w:val="00381CBF"/>
    <w:rsid w:val="00381E91"/>
    <w:rsid w:val="00381F4F"/>
    <w:rsid w:val="00381F91"/>
    <w:rsid w:val="0038206D"/>
    <w:rsid w:val="00382148"/>
    <w:rsid w:val="0038214D"/>
    <w:rsid w:val="003821A0"/>
    <w:rsid w:val="00382365"/>
    <w:rsid w:val="0038238B"/>
    <w:rsid w:val="00382731"/>
    <w:rsid w:val="0038288C"/>
    <w:rsid w:val="003828E9"/>
    <w:rsid w:val="00382957"/>
    <w:rsid w:val="003829BF"/>
    <w:rsid w:val="00382A78"/>
    <w:rsid w:val="00382BCA"/>
    <w:rsid w:val="00382C98"/>
    <w:rsid w:val="00382CAA"/>
    <w:rsid w:val="00382CF1"/>
    <w:rsid w:val="00382D2F"/>
    <w:rsid w:val="00382D4E"/>
    <w:rsid w:val="00382DFE"/>
    <w:rsid w:val="00382E1E"/>
    <w:rsid w:val="00382E22"/>
    <w:rsid w:val="00382E3B"/>
    <w:rsid w:val="00382E9F"/>
    <w:rsid w:val="00382EBF"/>
    <w:rsid w:val="00382F26"/>
    <w:rsid w:val="00382FC2"/>
    <w:rsid w:val="00383088"/>
    <w:rsid w:val="003831D0"/>
    <w:rsid w:val="00383219"/>
    <w:rsid w:val="00383397"/>
    <w:rsid w:val="003834A4"/>
    <w:rsid w:val="0038363E"/>
    <w:rsid w:val="003836F2"/>
    <w:rsid w:val="003837D0"/>
    <w:rsid w:val="003837FE"/>
    <w:rsid w:val="00383821"/>
    <w:rsid w:val="00383877"/>
    <w:rsid w:val="00383946"/>
    <w:rsid w:val="00383950"/>
    <w:rsid w:val="00383A44"/>
    <w:rsid w:val="00383A74"/>
    <w:rsid w:val="00383ACF"/>
    <w:rsid w:val="00383B61"/>
    <w:rsid w:val="00383E28"/>
    <w:rsid w:val="00384001"/>
    <w:rsid w:val="00384040"/>
    <w:rsid w:val="00384173"/>
    <w:rsid w:val="003841D8"/>
    <w:rsid w:val="003842F8"/>
    <w:rsid w:val="0038438D"/>
    <w:rsid w:val="0038457A"/>
    <w:rsid w:val="00384722"/>
    <w:rsid w:val="0038472A"/>
    <w:rsid w:val="0038482D"/>
    <w:rsid w:val="00384837"/>
    <w:rsid w:val="003848EC"/>
    <w:rsid w:val="0038494A"/>
    <w:rsid w:val="00384BA7"/>
    <w:rsid w:val="00384BBB"/>
    <w:rsid w:val="00384D00"/>
    <w:rsid w:val="00384D10"/>
    <w:rsid w:val="00384D1D"/>
    <w:rsid w:val="00384ED2"/>
    <w:rsid w:val="00384FF2"/>
    <w:rsid w:val="0038519D"/>
    <w:rsid w:val="003853E6"/>
    <w:rsid w:val="00385579"/>
    <w:rsid w:val="003855C1"/>
    <w:rsid w:val="0038564E"/>
    <w:rsid w:val="00385840"/>
    <w:rsid w:val="003858A6"/>
    <w:rsid w:val="003858CD"/>
    <w:rsid w:val="0038597A"/>
    <w:rsid w:val="00385A70"/>
    <w:rsid w:val="00385C99"/>
    <w:rsid w:val="00385E33"/>
    <w:rsid w:val="00385EA7"/>
    <w:rsid w:val="00385ED8"/>
    <w:rsid w:val="00386058"/>
    <w:rsid w:val="003861CD"/>
    <w:rsid w:val="00386220"/>
    <w:rsid w:val="00386297"/>
    <w:rsid w:val="003862EB"/>
    <w:rsid w:val="00386423"/>
    <w:rsid w:val="0038643B"/>
    <w:rsid w:val="003864D5"/>
    <w:rsid w:val="0038674A"/>
    <w:rsid w:val="00386786"/>
    <w:rsid w:val="0038678D"/>
    <w:rsid w:val="00386874"/>
    <w:rsid w:val="00386888"/>
    <w:rsid w:val="0038694F"/>
    <w:rsid w:val="00386B16"/>
    <w:rsid w:val="00386B88"/>
    <w:rsid w:val="00386C26"/>
    <w:rsid w:val="00386DEB"/>
    <w:rsid w:val="00386EE0"/>
    <w:rsid w:val="00386F4D"/>
    <w:rsid w:val="00387104"/>
    <w:rsid w:val="0038723E"/>
    <w:rsid w:val="00387395"/>
    <w:rsid w:val="00387413"/>
    <w:rsid w:val="00387442"/>
    <w:rsid w:val="003876A0"/>
    <w:rsid w:val="003876EE"/>
    <w:rsid w:val="0038777A"/>
    <w:rsid w:val="003877B0"/>
    <w:rsid w:val="003877D1"/>
    <w:rsid w:val="00387877"/>
    <w:rsid w:val="00387963"/>
    <w:rsid w:val="00387B0D"/>
    <w:rsid w:val="00387C85"/>
    <w:rsid w:val="00387C94"/>
    <w:rsid w:val="00387D98"/>
    <w:rsid w:val="00387DDD"/>
    <w:rsid w:val="00390176"/>
    <w:rsid w:val="00390334"/>
    <w:rsid w:val="0039039C"/>
    <w:rsid w:val="00390566"/>
    <w:rsid w:val="003905D3"/>
    <w:rsid w:val="00390718"/>
    <w:rsid w:val="0039076D"/>
    <w:rsid w:val="003907AA"/>
    <w:rsid w:val="00390817"/>
    <w:rsid w:val="00390ADB"/>
    <w:rsid w:val="00390B60"/>
    <w:rsid w:val="00390C3B"/>
    <w:rsid w:val="00390C96"/>
    <w:rsid w:val="00390CC5"/>
    <w:rsid w:val="00390D58"/>
    <w:rsid w:val="00390D9A"/>
    <w:rsid w:val="00391185"/>
    <w:rsid w:val="00391250"/>
    <w:rsid w:val="0039141E"/>
    <w:rsid w:val="00391443"/>
    <w:rsid w:val="003915B1"/>
    <w:rsid w:val="003915C2"/>
    <w:rsid w:val="00391892"/>
    <w:rsid w:val="00391994"/>
    <w:rsid w:val="00391A42"/>
    <w:rsid w:val="00391A61"/>
    <w:rsid w:val="00391B3D"/>
    <w:rsid w:val="00391CA2"/>
    <w:rsid w:val="00391CFF"/>
    <w:rsid w:val="00391DEC"/>
    <w:rsid w:val="00391E79"/>
    <w:rsid w:val="00391EF7"/>
    <w:rsid w:val="00391FCA"/>
    <w:rsid w:val="00392038"/>
    <w:rsid w:val="0039205B"/>
    <w:rsid w:val="0039237D"/>
    <w:rsid w:val="0039238B"/>
    <w:rsid w:val="0039244B"/>
    <w:rsid w:val="00392546"/>
    <w:rsid w:val="00392834"/>
    <w:rsid w:val="00392931"/>
    <w:rsid w:val="0039293C"/>
    <w:rsid w:val="0039295C"/>
    <w:rsid w:val="00392D3E"/>
    <w:rsid w:val="00392DB7"/>
    <w:rsid w:val="00392DCC"/>
    <w:rsid w:val="00392ECF"/>
    <w:rsid w:val="00393009"/>
    <w:rsid w:val="0039311D"/>
    <w:rsid w:val="003932A3"/>
    <w:rsid w:val="0039334E"/>
    <w:rsid w:val="00393367"/>
    <w:rsid w:val="0039339E"/>
    <w:rsid w:val="00393435"/>
    <w:rsid w:val="003934CE"/>
    <w:rsid w:val="0039384C"/>
    <w:rsid w:val="0039384D"/>
    <w:rsid w:val="0039388E"/>
    <w:rsid w:val="00393AA4"/>
    <w:rsid w:val="00393B5D"/>
    <w:rsid w:val="00393D0C"/>
    <w:rsid w:val="00393DCD"/>
    <w:rsid w:val="00393E10"/>
    <w:rsid w:val="00393F66"/>
    <w:rsid w:val="00393F6B"/>
    <w:rsid w:val="00393FAC"/>
    <w:rsid w:val="00393FDD"/>
    <w:rsid w:val="0039406C"/>
    <w:rsid w:val="003940BA"/>
    <w:rsid w:val="0039421C"/>
    <w:rsid w:val="0039423C"/>
    <w:rsid w:val="00394272"/>
    <w:rsid w:val="003943DF"/>
    <w:rsid w:val="0039452D"/>
    <w:rsid w:val="00394558"/>
    <w:rsid w:val="00394863"/>
    <w:rsid w:val="003948B2"/>
    <w:rsid w:val="003948D5"/>
    <w:rsid w:val="00394AD2"/>
    <w:rsid w:val="00394B7E"/>
    <w:rsid w:val="00394C26"/>
    <w:rsid w:val="00394F6B"/>
    <w:rsid w:val="00394FBC"/>
    <w:rsid w:val="0039502D"/>
    <w:rsid w:val="003952D7"/>
    <w:rsid w:val="003952F7"/>
    <w:rsid w:val="00395491"/>
    <w:rsid w:val="003954AF"/>
    <w:rsid w:val="003954FC"/>
    <w:rsid w:val="003955AB"/>
    <w:rsid w:val="003955CC"/>
    <w:rsid w:val="00395804"/>
    <w:rsid w:val="003958D2"/>
    <w:rsid w:val="00395976"/>
    <w:rsid w:val="003959FC"/>
    <w:rsid w:val="00395A1F"/>
    <w:rsid w:val="00395BCB"/>
    <w:rsid w:val="00395D33"/>
    <w:rsid w:val="00395F86"/>
    <w:rsid w:val="0039606B"/>
    <w:rsid w:val="00396130"/>
    <w:rsid w:val="00396241"/>
    <w:rsid w:val="00396256"/>
    <w:rsid w:val="0039630C"/>
    <w:rsid w:val="00396374"/>
    <w:rsid w:val="00396377"/>
    <w:rsid w:val="003965BB"/>
    <w:rsid w:val="00396821"/>
    <w:rsid w:val="00396823"/>
    <w:rsid w:val="003968A7"/>
    <w:rsid w:val="00396931"/>
    <w:rsid w:val="00396AAE"/>
    <w:rsid w:val="00396B97"/>
    <w:rsid w:val="00396BCB"/>
    <w:rsid w:val="00396C55"/>
    <w:rsid w:val="00396CC0"/>
    <w:rsid w:val="00396EA0"/>
    <w:rsid w:val="00396EE9"/>
    <w:rsid w:val="00397144"/>
    <w:rsid w:val="00397163"/>
    <w:rsid w:val="0039731A"/>
    <w:rsid w:val="00397336"/>
    <w:rsid w:val="0039740A"/>
    <w:rsid w:val="00397636"/>
    <w:rsid w:val="00397681"/>
    <w:rsid w:val="00397697"/>
    <w:rsid w:val="00397991"/>
    <w:rsid w:val="00397A36"/>
    <w:rsid w:val="00397A55"/>
    <w:rsid w:val="00397AE7"/>
    <w:rsid w:val="00397AFC"/>
    <w:rsid w:val="00397B15"/>
    <w:rsid w:val="00397B6F"/>
    <w:rsid w:val="00397B87"/>
    <w:rsid w:val="00397BA7"/>
    <w:rsid w:val="00397BB5"/>
    <w:rsid w:val="00397C6C"/>
    <w:rsid w:val="00397E0A"/>
    <w:rsid w:val="00397ED1"/>
    <w:rsid w:val="00397F5B"/>
    <w:rsid w:val="00397F89"/>
    <w:rsid w:val="003A0028"/>
    <w:rsid w:val="003A0071"/>
    <w:rsid w:val="003A01AD"/>
    <w:rsid w:val="003A01BF"/>
    <w:rsid w:val="003A0308"/>
    <w:rsid w:val="003A06E5"/>
    <w:rsid w:val="003A0940"/>
    <w:rsid w:val="003A094A"/>
    <w:rsid w:val="003A097F"/>
    <w:rsid w:val="003A0C46"/>
    <w:rsid w:val="003A0CD2"/>
    <w:rsid w:val="003A0CE3"/>
    <w:rsid w:val="003A0E10"/>
    <w:rsid w:val="003A0EDC"/>
    <w:rsid w:val="003A0FEA"/>
    <w:rsid w:val="003A1003"/>
    <w:rsid w:val="003A1041"/>
    <w:rsid w:val="003A13FB"/>
    <w:rsid w:val="003A14BD"/>
    <w:rsid w:val="003A14F9"/>
    <w:rsid w:val="003A1518"/>
    <w:rsid w:val="003A1583"/>
    <w:rsid w:val="003A1841"/>
    <w:rsid w:val="003A1852"/>
    <w:rsid w:val="003A192E"/>
    <w:rsid w:val="003A1930"/>
    <w:rsid w:val="003A1AFE"/>
    <w:rsid w:val="003A1AFF"/>
    <w:rsid w:val="003A1C23"/>
    <w:rsid w:val="003A1CC4"/>
    <w:rsid w:val="003A1D4A"/>
    <w:rsid w:val="003A1DCD"/>
    <w:rsid w:val="003A1EB4"/>
    <w:rsid w:val="003A205E"/>
    <w:rsid w:val="003A20E5"/>
    <w:rsid w:val="003A211A"/>
    <w:rsid w:val="003A211C"/>
    <w:rsid w:val="003A214D"/>
    <w:rsid w:val="003A2634"/>
    <w:rsid w:val="003A2666"/>
    <w:rsid w:val="003A2741"/>
    <w:rsid w:val="003A2819"/>
    <w:rsid w:val="003A2A90"/>
    <w:rsid w:val="003A2ADA"/>
    <w:rsid w:val="003A2DDD"/>
    <w:rsid w:val="003A2E25"/>
    <w:rsid w:val="003A2E2A"/>
    <w:rsid w:val="003A2E2F"/>
    <w:rsid w:val="003A2E7B"/>
    <w:rsid w:val="003A2FB8"/>
    <w:rsid w:val="003A2FE5"/>
    <w:rsid w:val="003A3082"/>
    <w:rsid w:val="003A3095"/>
    <w:rsid w:val="003A30A3"/>
    <w:rsid w:val="003A3107"/>
    <w:rsid w:val="003A3158"/>
    <w:rsid w:val="003A3221"/>
    <w:rsid w:val="003A32B6"/>
    <w:rsid w:val="003A331D"/>
    <w:rsid w:val="003A3389"/>
    <w:rsid w:val="003A342F"/>
    <w:rsid w:val="003A3508"/>
    <w:rsid w:val="003A35DE"/>
    <w:rsid w:val="003A37DD"/>
    <w:rsid w:val="003A37FA"/>
    <w:rsid w:val="003A38B2"/>
    <w:rsid w:val="003A3952"/>
    <w:rsid w:val="003A399C"/>
    <w:rsid w:val="003A39ED"/>
    <w:rsid w:val="003A3C1F"/>
    <w:rsid w:val="003A3C46"/>
    <w:rsid w:val="003A3E71"/>
    <w:rsid w:val="003A3E87"/>
    <w:rsid w:val="003A3F3A"/>
    <w:rsid w:val="003A4023"/>
    <w:rsid w:val="003A4055"/>
    <w:rsid w:val="003A41D6"/>
    <w:rsid w:val="003A429A"/>
    <w:rsid w:val="003A44F4"/>
    <w:rsid w:val="003A4640"/>
    <w:rsid w:val="003A4665"/>
    <w:rsid w:val="003A47EF"/>
    <w:rsid w:val="003A48F9"/>
    <w:rsid w:val="003A4920"/>
    <w:rsid w:val="003A4999"/>
    <w:rsid w:val="003A4A48"/>
    <w:rsid w:val="003A4AA3"/>
    <w:rsid w:val="003A4B4A"/>
    <w:rsid w:val="003A4CCD"/>
    <w:rsid w:val="003A4D74"/>
    <w:rsid w:val="003A4E73"/>
    <w:rsid w:val="003A4E99"/>
    <w:rsid w:val="003A4F69"/>
    <w:rsid w:val="003A5076"/>
    <w:rsid w:val="003A50B9"/>
    <w:rsid w:val="003A510F"/>
    <w:rsid w:val="003A523E"/>
    <w:rsid w:val="003A5274"/>
    <w:rsid w:val="003A53F6"/>
    <w:rsid w:val="003A5454"/>
    <w:rsid w:val="003A563F"/>
    <w:rsid w:val="003A57FE"/>
    <w:rsid w:val="003A5843"/>
    <w:rsid w:val="003A5B03"/>
    <w:rsid w:val="003A5B19"/>
    <w:rsid w:val="003A5B32"/>
    <w:rsid w:val="003A5B36"/>
    <w:rsid w:val="003A5BFB"/>
    <w:rsid w:val="003A5C83"/>
    <w:rsid w:val="003A5CD8"/>
    <w:rsid w:val="003A5D62"/>
    <w:rsid w:val="003A5F09"/>
    <w:rsid w:val="003A61B5"/>
    <w:rsid w:val="003A634F"/>
    <w:rsid w:val="003A6395"/>
    <w:rsid w:val="003A63D8"/>
    <w:rsid w:val="003A6469"/>
    <w:rsid w:val="003A646B"/>
    <w:rsid w:val="003A648B"/>
    <w:rsid w:val="003A6763"/>
    <w:rsid w:val="003A676C"/>
    <w:rsid w:val="003A6905"/>
    <w:rsid w:val="003A6A2A"/>
    <w:rsid w:val="003A6CA0"/>
    <w:rsid w:val="003A6CAF"/>
    <w:rsid w:val="003A6D0F"/>
    <w:rsid w:val="003A6D69"/>
    <w:rsid w:val="003A712E"/>
    <w:rsid w:val="003A713A"/>
    <w:rsid w:val="003A7161"/>
    <w:rsid w:val="003A725E"/>
    <w:rsid w:val="003A72E9"/>
    <w:rsid w:val="003A74D7"/>
    <w:rsid w:val="003A7639"/>
    <w:rsid w:val="003A7702"/>
    <w:rsid w:val="003A77AB"/>
    <w:rsid w:val="003A792E"/>
    <w:rsid w:val="003A7A27"/>
    <w:rsid w:val="003A7A89"/>
    <w:rsid w:val="003A7AB6"/>
    <w:rsid w:val="003A7D1D"/>
    <w:rsid w:val="003A7EE8"/>
    <w:rsid w:val="003B00E6"/>
    <w:rsid w:val="003B0276"/>
    <w:rsid w:val="003B0321"/>
    <w:rsid w:val="003B0544"/>
    <w:rsid w:val="003B05BD"/>
    <w:rsid w:val="003B0902"/>
    <w:rsid w:val="003B0934"/>
    <w:rsid w:val="003B0A3E"/>
    <w:rsid w:val="003B0EE6"/>
    <w:rsid w:val="003B0FB6"/>
    <w:rsid w:val="003B12A7"/>
    <w:rsid w:val="003B1351"/>
    <w:rsid w:val="003B13B0"/>
    <w:rsid w:val="003B1416"/>
    <w:rsid w:val="003B1591"/>
    <w:rsid w:val="003B15AC"/>
    <w:rsid w:val="003B1885"/>
    <w:rsid w:val="003B1BCA"/>
    <w:rsid w:val="003B1C1F"/>
    <w:rsid w:val="003B1C50"/>
    <w:rsid w:val="003B1C55"/>
    <w:rsid w:val="003B1E1B"/>
    <w:rsid w:val="003B1FF5"/>
    <w:rsid w:val="003B22BB"/>
    <w:rsid w:val="003B237B"/>
    <w:rsid w:val="003B2384"/>
    <w:rsid w:val="003B246A"/>
    <w:rsid w:val="003B2999"/>
    <w:rsid w:val="003B2B3D"/>
    <w:rsid w:val="003B2B44"/>
    <w:rsid w:val="003B2B73"/>
    <w:rsid w:val="003B2C27"/>
    <w:rsid w:val="003B2C37"/>
    <w:rsid w:val="003B2EC2"/>
    <w:rsid w:val="003B2EDC"/>
    <w:rsid w:val="003B2FC6"/>
    <w:rsid w:val="003B30BD"/>
    <w:rsid w:val="003B30D6"/>
    <w:rsid w:val="003B3137"/>
    <w:rsid w:val="003B31A9"/>
    <w:rsid w:val="003B31E2"/>
    <w:rsid w:val="003B32A8"/>
    <w:rsid w:val="003B3631"/>
    <w:rsid w:val="003B3688"/>
    <w:rsid w:val="003B3693"/>
    <w:rsid w:val="003B3751"/>
    <w:rsid w:val="003B3785"/>
    <w:rsid w:val="003B3B03"/>
    <w:rsid w:val="003B3D44"/>
    <w:rsid w:val="003B3EFB"/>
    <w:rsid w:val="003B3F0F"/>
    <w:rsid w:val="003B3F14"/>
    <w:rsid w:val="003B427E"/>
    <w:rsid w:val="003B42E2"/>
    <w:rsid w:val="003B42F8"/>
    <w:rsid w:val="003B4384"/>
    <w:rsid w:val="003B43DD"/>
    <w:rsid w:val="003B4457"/>
    <w:rsid w:val="003B46CA"/>
    <w:rsid w:val="003B4895"/>
    <w:rsid w:val="003B4A08"/>
    <w:rsid w:val="003B4B87"/>
    <w:rsid w:val="003B4BD3"/>
    <w:rsid w:val="003B4CBC"/>
    <w:rsid w:val="003B4E85"/>
    <w:rsid w:val="003B501A"/>
    <w:rsid w:val="003B50FB"/>
    <w:rsid w:val="003B516E"/>
    <w:rsid w:val="003B527D"/>
    <w:rsid w:val="003B5529"/>
    <w:rsid w:val="003B55F8"/>
    <w:rsid w:val="003B56AA"/>
    <w:rsid w:val="003B576F"/>
    <w:rsid w:val="003B57F2"/>
    <w:rsid w:val="003B590B"/>
    <w:rsid w:val="003B5939"/>
    <w:rsid w:val="003B5BBC"/>
    <w:rsid w:val="003B5BC0"/>
    <w:rsid w:val="003B5C49"/>
    <w:rsid w:val="003B5C84"/>
    <w:rsid w:val="003B5D69"/>
    <w:rsid w:val="003B5D73"/>
    <w:rsid w:val="003B5E2D"/>
    <w:rsid w:val="003B5E8C"/>
    <w:rsid w:val="003B5EFE"/>
    <w:rsid w:val="003B5F4D"/>
    <w:rsid w:val="003B606B"/>
    <w:rsid w:val="003B6137"/>
    <w:rsid w:val="003B62CD"/>
    <w:rsid w:val="003B638F"/>
    <w:rsid w:val="003B64B1"/>
    <w:rsid w:val="003B64B9"/>
    <w:rsid w:val="003B6517"/>
    <w:rsid w:val="003B652C"/>
    <w:rsid w:val="003B6626"/>
    <w:rsid w:val="003B6651"/>
    <w:rsid w:val="003B669C"/>
    <w:rsid w:val="003B672B"/>
    <w:rsid w:val="003B67B5"/>
    <w:rsid w:val="003B68C3"/>
    <w:rsid w:val="003B68E1"/>
    <w:rsid w:val="003B6A96"/>
    <w:rsid w:val="003B6D10"/>
    <w:rsid w:val="003B6DB5"/>
    <w:rsid w:val="003B6E32"/>
    <w:rsid w:val="003B6F49"/>
    <w:rsid w:val="003B703C"/>
    <w:rsid w:val="003B7130"/>
    <w:rsid w:val="003B71FB"/>
    <w:rsid w:val="003B7465"/>
    <w:rsid w:val="003B752C"/>
    <w:rsid w:val="003B755A"/>
    <w:rsid w:val="003B7725"/>
    <w:rsid w:val="003B777C"/>
    <w:rsid w:val="003B7814"/>
    <w:rsid w:val="003B7882"/>
    <w:rsid w:val="003B788C"/>
    <w:rsid w:val="003B7934"/>
    <w:rsid w:val="003B794A"/>
    <w:rsid w:val="003B7A66"/>
    <w:rsid w:val="003B7B46"/>
    <w:rsid w:val="003B7BE6"/>
    <w:rsid w:val="003B7C56"/>
    <w:rsid w:val="003B7F92"/>
    <w:rsid w:val="003C00F3"/>
    <w:rsid w:val="003C04A3"/>
    <w:rsid w:val="003C04D6"/>
    <w:rsid w:val="003C05C1"/>
    <w:rsid w:val="003C069D"/>
    <w:rsid w:val="003C0724"/>
    <w:rsid w:val="003C074E"/>
    <w:rsid w:val="003C0774"/>
    <w:rsid w:val="003C07DD"/>
    <w:rsid w:val="003C0909"/>
    <w:rsid w:val="003C09C1"/>
    <w:rsid w:val="003C0BE3"/>
    <w:rsid w:val="003C0C06"/>
    <w:rsid w:val="003C0D70"/>
    <w:rsid w:val="003C0DCE"/>
    <w:rsid w:val="003C0ED5"/>
    <w:rsid w:val="003C0FE8"/>
    <w:rsid w:val="003C11A2"/>
    <w:rsid w:val="003C11C4"/>
    <w:rsid w:val="003C1276"/>
    <w:rsid w:val="003C1357"/>
    <w:rsid w:val="003C1447"/>
    <w:rsid w:val="003C1549"/>
    <w:rsid w:val="003C155C"/>
    <w:rsid w:val="003C16EC"/>
    <w:rsid w:val="003C16FA"/>
    <w:rsid w:val="003C18E3"/>
    <w:rsid w:val="003C1A18"/>
    <w:rsid w:val="003C1AC6"/>
    <w:rsid w:val="003C1B1D"/>
    <w:rsid w:val="003C1B74"/>
    <w:rsid w:val="003C1D3E"/>
    <w:rsid w:val="003C1E44"/>
    <w:rsid w:val="003C1FB6"/>
    <w:rsid w:val="003C21E4"/>
    <w:rsid w:val="003C237D"/>
    <w:rsid w:val="003C23B4"/>
    <w:rsid w:val="003C23C4"/>
    <w:rsid w:val="003C24B4"/>
    <w:rsid w:val="003C2DDA"/>
    <w:rsid w:val="003C2E3E"/>
    <w:rsid w:val="003C2EBB"/>
    <w:rsid w:val="003C2EEA"/>
    <w:rsid w:val="003C2F3B"/>
    <w:rsid w:val="003C3039"/>
    <w:rsid w:val="003C3062"/>
    <w:rsid w:val="003C308F"/>
    <w:rsid w:val="003C318E"/>
    <w:rsid w:val="003C327C"/>
    <w:rsid w:val="003C3407"/>
    <w:rsid w:val="003C352D"/>
    <w:rsid w:val="003C35B8"/>
    <w:rsid w:val="003C35D0"/>
    <w:rsid w:val="003C35DA"/>
    <w:rsid w:val="003C3648"/>
    <w:rsid w:val="003C3725"/>
    <w:rsid w:val="003C3871"/>
    <w:rsid w:val="003C38E0"/>
    <w:rsid w:val="003C3A47"/>
    <w:rsid w:val="003C3B0A"/>
    <w:rsid w:val="003C3C37"/>
    <w:rsid w:val="003C3C51"/>
    <w:rsid w:val="003C3D49"/>
    <w:rsid w:val="003C3D9D"/>
    <w:rsid w:val="003C40AE"/>
    <w:rsid w:val="003C4184"/>
    <w:rsid w:val="003C42EB"/>
    <w:rsid w:val="003C441C"/>
    <w:rsid w:val="003C4441"/>
    <w:rsid w:val="003C4579"/>
    <w:rsid w:val="003C45B3"/>
    <w:rsid w:val="003C45CF"/>
    <w:rsid w:val="003C46DB"/>
    <w:rsid w:val="003C47FD"/>
    <w:rsid w:val="003C4897"/>
    <w:rsid w:val="003C4A97"/>
    <w:rsid w:val="003C4ACF"/>
    <w:rsid w:val="003C4C27"/>
    <w:rsid w:val="003C4CC0"/>
    <w:rsid w:val="003C4F23"/>
    <w:rsid w:val="003C5031"/>
    <w:rsid w:val="003C5050"/>
    <w:rsid w:val="003C511F"/>
    <w:rsid w:val="003C52D0"/>
    <w:rsid w:val="003C52E4"/>
    <w:rsid w:val="003C53D0"/>
    <w:rsid w:val="003C54EA"/>
    <w:rsid w:val="003C54F5"/>
    <w:rsid w:val="003C5539"/>
    <w:rsid w:val="003C5561"/>
    <w:rsid w:val="003C5701"/>
    <w:rsid w:val="003C57FF"/>
    <w:rsid w:val="003C5879"/>
    <w:rsid w:val="003C58AB"/>
    <w:rsid w:val="003C59E2"/>
    <w:rsid w:val="003C59EB"/>
    <w:rsid w:val="003C5A77"/>
    <w:rsid w:val="003C5AB4"/>
    <w:rsid w:val="003C5E80"/>
    <w:rsid w:val="003C5EA0"/>
    <w:rsid w:val="003C5ED9"/>
    <w:rsid w:val="003C5EE8"/>
    <w:rsid w:val="003C5EF4"/>
    <w:rsid w:val="003C5F88"/>
    <w:rsid w:val="003C5FA4"/>
    <w:rsid w:val="003C60CF"/>
    <w:rsid w:val="003C6241"/>
    <w:rsid w:val="003C641E"/>
    <w:rsid w:val="003C646E"/>
    <w:rsid w:val="003C64CA"/>
    <w:rsid w:val="003C64F7"/>
    <w:rsid w:val="003C6601"/>
    <w:rsid w:val="003C670A"/>
    <w:rsid w:val="003C697D"/>
    <w:rsid w:val="003C69C6"/>
    <w:rsid w:val="003C6B0C"/>
    <w:rsid w:val="003C6B48"/>
    <w:rsid w:val="003C6C4D"/>
    <w:rsid w:val="003C6DFB"/>
    <w:rsid w:val="003C6F4B"/>
    <w:rsid w:val="003C6F8E"/>
    <w:rsid w:val="003C7231"/>
    <w:rsid w:val="003C725B"/>
    <w:rsid w:val="003C72B8"/>
    <w:rsid w:val="003C736E"/>
    <w:rsid w:val="003C7499"/>
    <w:rsid w:val="003C7662"/>
    <w:rsid w:val="003C76BD"/>
    <w:rsid w:val="003C7A3F"/>
    <w:rsid w:val="003C7AF8"/>
    <w:rsid w:val="003C7B10"/>
    <w:rsid w:val="003C7C88"/>
    <w:rsid w:val="003C7D4C"/>
    <w:rsid w:val="003C7F4A"/>
    <w:rsid w:val="003D04C1"/>
    <w:rsid w:val="003D04D7"/>
    <w:rsid w:val="003D0539"/>
    <w:rsid w:val="003D0579"/>
    <w:rsid w:val="003D0615"/>
    <w:rsid w:val="003D067C"/>
    <w:rsid w:val="003D078A"/>
    <w:rsid w:val="003D0994"/>
    <w:rsid w:val="003D0A7A"/>
    <w:rsid w:val="003D0AA4"/>
    <w:rsid w:val="003D0BDD"/>
    <w:rsid w:val="003D0CEA"/>
    <w:rsid w:val="003D0D63"/>
    <w:rsid w:val="003D0DFE"/>
    <w:rsid w:val="003D0E77"/>
    <w:rsid w:val="003D0E8E"/>
    <w:rsid w:val="003D0EC8"/>
    <w:rsid w:val="003D0F67"/>
    <w:rsid w:val="003D10D4"/>
    <w:rsid w:val="003D114E"/>
    <w:rsid w:val="003D11CA"/>
    <w:rsid w:val="003D13C7"/>
    <w:rsid w:val="003D1512"/>
    <w:rsid w:val="003D1612"/>
    <w:rsid w:val="003D1615"/>
    <w:rsid w:val="003D1750"/>
    <w:rsid w:val="003D181C"/>
    <w:rsid w:val="003D1A2E"/>
    <w:rsid w:val="003D1A61"/>
    <w:rsid w:val="003D1B02"/>
    <w:rsid w:val="003D1B7B"/>
    <w:rsid w:val="003D1BEC"/>
    <w:rsid w:val="003D1CD2"/>
    <w:rsid w:val="003D1DFD"/>
    <w:rsid w:val="003D1EBF"/>
    <w:rsid w:val="003D20C5"/>
    <w:rsid w:val="003D21AC"/>
    <w:rsid w:val="003D22D1"/>
    <w:rsid w:val="003D23F0"/>
    <w:rsid w:val="003D23FC"/>
    <w:rsid w:val="003D2583"/>
    <w:rsid w:val="003D266E"/>
    <w:rsid w:val="003D272F"/>
    <w:rsid w:val="003D2782"/>
    <w:rsid w:val="003D28BC"/>
    <w:rsid w:val="003D29EF"/>
    <w:rsid w:val="003D2B81"/>
    <w:rsid w:val="003D2BD1"/>
    <w:rsid w:val="003D2BD3"/>
    <w:rsid w:val="003D2C0D"/>
    <w:rsid w:val="003D2ED3"/>
    <w:rsid w:val="003D2FF7"/>
    <w:rsid w:val="003D306E"/>
    <w:rsid w:val="003D307F"/>
    <w:rsid w:val="003D328A"/>
    <w:rsid w:val="003D32EA"/>
    <w:rsid w:val="003D341A"/>
    <w:rsid w:val="003D3453"/>
    <w:rsid w:val="003D34CC"/>
    <w:rsid w:val="003D3554"/>
    <w:rsid w:val="003D35AF"/>
    <w:rsid w:val="003D3A4A"/>
    <w:rsid w:val="003D3A91"/>
    <w:rsid w:val="003D3B29"/>
    <w:rsid w:val="003D3B4C"/>
    <w:rsid w:val="003D3BC6"/>
    <w:rsid w:val="003D3C37"/>
    <w:rsid w:val="003D3C40"/>
    <w:rsid w:val="003D3C60"/>
    <w:rsid w:val="003D3CDF"/>
    <w:rsid w:val="003D3D77"/>
    <w:rsid w:val="003D3D83"/>
    <w:rsid w:val="003D3F6F"/>
    <w:rsid w:val="003D43F0"/>
    <w:rsid w:val="003D441F"/>
    <w:rsid w:val="003D443D"/>
    <w:rsid w:val="003D4522"/>
    <w:rsid w:val="003D453B"/>
    <w:rsid w:val="003D45CB"/>
    <w:rsid w:val="003D45CC"/>
    <w:rsid w:val="003D45CF"/>
    <w:rsid w:val="003D46F4"/>
    <w:rsid w:val="003D48BE"/>
    <w:rsid w:val="003D48DE"/>
    <w:rsid w:val="003D4949"/>
    <w:rsid w:val="003D4996"/>
    <w:rsid w:val="003D49B5"/>
    <w:rsid w:val="003D49DB"/>
    <w:rsid w:val="003D49F8"/>
    <w:rsid w:val="003D4BBA"/>
    <w:rsid w:val="003D4C6C"/>
    <w:rsid w:val="003D4D71"/>
    <w:rsid w:val="003D4E33"/>
    <w:rsid w:val="003D4FA2"/>
    <w:rsid w:val="003D512D"/>
    <w:rsid w:val="003D515E"/>
    <w:rsid w:val="003D5345"/>
    <w:rsid w:val="003D53B8"/>
    <w:rsid w:val="003D5699"/>
    <w:rsid w:val="003D5875"/>
    <w:rsid w:val="003D5936"/>
    <w:rsid w:val="003D5A22"/>
    <w:rsid w:val="003D5B97"/>
    <w:rsid w:val="003D5E55"/>
    <w:rsid w:val="003D5F4A"/>
    <w:rsid w:val="003D609B"/>
    <w:rsid w:val="003D6213"/>
    <w:rsid w:val="003D6215"/>
    <w:rsid w:val="003D62DB"/>
    <w:rsid w:val="003D62E7"/>
    <w:rsid w:val="003D634D"/>
    <w:rsid w:val="003D648D"/>
    <w:rsid w:val="003D658A"/>
    <w:rsid w:val="003D6598"/>
    <w:rsid w:val="003D6742"/>
    <w:rsid w:val="003D6A81"/>
    <w:rsid w:val="003D6AB6"/>
    <w:rsid w:val="003D6B06"/>
    <w:rsid w:val="003D6D39"/>
    <w:rsid w:val="003D6E4C"/>
    <w:rsid w:val="003D6EC1"/>
    <w:rsid w:val="003D6ECB"/>
    <w:rsid w:val="003D700F"/>
    <w:rsid w:val="003D70A3"/>
    <w:rsid w:val="003D70F8"/>
    <w:rsid w:val="003D7472"/>
    <w:rsid w:val="003D74F4"/>
    <w:rsid w:val="003D7626"/>
    <w:rsid w:val="003D782A"/>
    <w:rsid w:val="003D7839"/>
    <w:rsid w:val="003D78F0"/>
    <w:rsid w:val="003D7B0C"/>
    <w:rsid w:val="003D7B1B"/>
    <w:rsid w:val="003D7B64"/>
    <w:rsid w:val="003D7CAF"/>
    <w:rsid w:val="003D7ECC"/>
    <w:rsid w:val="003D7F1A"/>
    <w:rsid w:val="003D7F2C"/>
    <w:rsid w:val="003D7F76"/>
    <w:rsid w:val="003D7F95"/>
    <w:rsid w:val="003E00D6"/>
    <w:rsid w:val="003E017E"/>
    <w:rsid w:val="003E0229"/>
    <w:rsid w:val="003E02F6"/>
    <w:rsid w:val="003E0439"/>
    <w:rsid w:val="003E043A"/>
    <w:rsid w:val="003E0487"/>
    <w:rsid w:val="003E054D"/>
    <w:rsid w:val="003E0646"/>
    <w:rsid w:val="003E071F"/>
    <w:rsid w:val="003E0720"/>
    <w:rsid w:val="003E0856"/>
    <w:rsid w:val="003E092B"/>
    <w:rsid w:val="003E099F"/>
    <w:rsid w:val="003E0B29"/>
    <w:rsid w:val="003E0B41"/>
    <w:rsid w:val="003E0E0D"/>
    <w:rsid w:val="003E0E50"/>
    <w:rsid w:val="003E0EF8"/>
    <w:rsid w:val="003E0F5A"/>
    <w:rsid w:val="003E0FB8"/>
    <w:rsid w:val="003E106F"/>
    <w:rsid w:val="003E10FF"/>
    <w:rsid w:val="003E11F5"/>
    <w:rsid w:val="003E1277"/>
    <w:rsid w:val="003E13F7"/>
    <w:rsid w:val="003E1402"/>
    <w:rsid w:val="003E1504"/>
    <w:rsid w:val="003E1672"/>
    <w:rsid w:val="003E1746"/>
    <w:rsid w:val="003E18B8"/>
    <w:rsid w:val="003E18D6"/>
    <w:rsid w:val="003E1A01"/>
    <w:rsid w:val="003E1A0E"/>
    <w:rsid w:val="003E1AC8"/>
    <w:rsid w:val="003E1C80"/>
    <w:rsid w:val="003E1D5E"/>
    <w:rsid w:val="003E1DE2"/>
    <w:rsid w:val="003E1E36"/>
    <w:rsid w:val="003E1F9E"/>
    <w:rsid w:val="003E1FDD"/>
    <w:rsid w:val="003E1FE6"/>
    <w:rsid w:val="003E2004"/>
    <w:rsid w:val="003E20D6"/>
    <w:rsid w:val="003E2216"/>
    <w:rsid w:val="003E2267"/>
    <w:rsid w:val="003E22D7"/>
    <w:rsid w:val="003E239C"/>
    <w:rsid w:val="003E23B3"/>
    <w:rsid w:val="003E24D7"/>
    <w:rsid w:val="003E2524"/>
    <w:rsid w:val="003E27ED"/>
    <w:rsid w:val="003E2859"/>
    <w:rsid w:val="003E29E0"/>
    <w:rsid w:val="003E2B8C"/>
    <w:rsid w:val="003E2BDB"/>
    <w:rsid w:val="003E2CCD"/>
    <w:rsid w:val="003E2D60"/>
    <w:rsid w:val="003E2E5D"/>
    <w:rsid w:val="003E2E79"/>
    <w:rsid w:val="003E2EFF"/>
    <w:rsid w:val="003E2F2A"/>
    <w:rsid w:val="003E307A"/>
    <w:rsid w:val="003E3092"/>
    <w:rsid w:val="003E3127"/>
    <w:rsid w:val="003E316B"/>
    <w:rsid w:val="003E3489"/>
    <w:rsid w:val="003E3518"/>
    <w:rsid w:val="003E3630"/>
    <w:rsid w:val="003E3675"/>
    <w:rsid w:val="003E3860"/>
    <w:rsid w:val="003E3934"/>
    <w:rsid w:val="003E397B"/>
    <w:rsid w:val="003E3A2B"/>
    <w:rsid w:val="003E3A67"/>
    <w:rsid w:val="003E3ACD"/>
    <w:rsid w:val="003E3BDE"/>
    <w:rsid w:val="003E3C2C"/>
    <w:rsid w:val="003E3CA4"/>
    <w:rsid w:val="003E3D03"/>
    <w:rsid w:val="003E3DFE"/>
    <w:rsid w:val="003E3F0A"/>
    <w:rsid w:val="003E3F0D"/>
    <w:rsid w:val="003E416F"/>
    <w:rsid w:val="003E4470"/>
    <w:rsid w:val="003E4628"/>
    <w:rsid w:val="003E47BC"/>
    <w:rsid w:val="003E4893"/>
    <w:rsid w:val="003E4986"/>
    <w:rsid w:val="003E49A7"/>
    <w:rsid w:val="003E49F5"/>
    <w:rsid w:val="003E4C0D"/>
    <w:rsid w:val="003E4C6B"/>
    <w:rsid w:val="003E4C7D"/>
    <w:rsid w:val="003E4D87"/>
    <w:rsid w:val="003E4D9A"/>
    <w:rsid w:val="003E5128"/>
    <w:rsid w:val="003E5190"/>
    <w:rsid w:val="003E536F"/>
    <w:rsid w:val="003E54A7"/>
    <w:rsid w:val="003E55BA"/>
    <w:rsid w:val="003E57ED"/>
    <w:rsid w:val="003E5B3B"/>
    <w:rsid w:val="003E5E97"/>
    <w:rsid w:val="003E61B9"/>
    <w:rsid w:val="003E63EE"/>
    <w:rsid w:val="003E650C"/>
    <w:rsid w:val="003E6523"/>
    <w:rsid w:val="003E6719"/>
    <w:rsid w:val="003E6723"/>
    <w:rsid w:val="003E68C6"/>
    <w:rsid w:val="003E6946"/>
    <w:rsid w:val="003E6986"/>
    <w:rsid w:val="003E6AF3"/>
    <w:rsid w:val="003E6C78"/>
    <w:rsid w:val="003E6DA0"/>
    <w:rsid w:val="003E6E27"/>
    <w:rsid w:val="003E6EDC"/>
    <w:rsid w:val="003E6F7F"/>
    <w:rsid w:val="003E7026"/>
    <w:rsid w:val="003E73B6"/>
    <w:rsid w:val="003E74F2"/>
    <w:rsid w:val="003E771E"/>
    <w:rsid w:val="003E7AFB"/>
    <w:rsid w:val="003E7CC6"/>
    <w:rsid w:val="003E7DB8"/>
    <w:rsid w:val="003E7EDA"/>
    <w:rsid w:val="003E7F0A"/>
    <w:rsid w:val="003E7F46"/>
    <w:rsid w:val="003F0084"/>
    <w:rsid w:val="003F00AC"/>
    <w:rsid w:val="003F01C4"/>
    <w:rsid w:val="003F02CE"/>
    <w:rsid w:val="003F03AC"/>
    <w:rsid w:val="003F03B0"/>
    <w:rsid w:val="003F0419"/>
    <w:rsid w:val="003F045D"/>
    <w:rsid w:val="003F06A9"/>
    <w:rsid w:val="003F0739"/>
    <w:rsid w:val="003F083E"/>
    <w:rsid w:val="003F0901"/>
    <w:rsid w:val="003F099C"/>
    <w:rsid w:val="003F09EF"/>
    <w:rsid w:val="003F0A45"/>
    <w:rsid w:val="003F0A9B"/>
    <w:rsid w:val="003F0BD5"/>
    <w:rsid w:val="003F0F4D"/>
    <w:rsid w:val="003F108A"/>
    <w:rsid w:val="003F11E8"/>
    <w:rsid w:val="003F1313"/>
    <w:rsid w:val="003F1357"/>
    <w:rsid w:val="003F13DD"/>
    <w:rsid w:val="003F145A"/>
    <w:rsid w:val="003F14FE"/>
    <w:rsid w:val="003F153B"/>
    <w:rsid w:val="003F15EF"/>
    <w:rsid w:val="003F1674"/>
    <w:rsid w:val="003F16FC"/>
    <w:rsid w:val="003F19B8"/>
    <w:rsid w:val="003F1A88"/>
    <w:rsid w:val="003F1BB2"/>
    <w:rsid w:val="003F1BF5"/>
    <w:rsid w:val="003F1D59"/>
    <w:rsid w:val="003F1D7D"/>
    <w:rsid w:val="003F1F82"/>
    <w:rsid w:val="003F20AB"/>
    <w:rsid w:val="003F2139"/>
    <w:rsid w:val="003F239D"/>
    <w:rsid w:val="003F24E9"/>
    <w:rsid w:val="003F24FA"/>
    <w:rsid w:val="003F25A6"/>
    <w:rsid w:val="003F25E0"/>
    <w:rsid w:val="003F284E"/>
    <w:rsid w:val="003F29BA"/>
    <w:rsid w:val="003F2BC7"/>
    <w:rsid w:val="003F2C00"/>
    <w:rsid w:val="003F2DED"/>
    <w:rsid w:val="003F2F28"/>
    <w:rsid w:val="003F2F29"/>
    <w:rsid w:val="003F2FB6"/>
    <w:rsid w:val="003F3062"/>
    <w:rsid w:val="003F3071"/>
    <w:rsid w:val="003F31E5"/>
    <w:rsid w:val="003F32DF"/>
    <w:rsid w:val="003F3371"/>
    <w:rsid w:val="003F339D"/>
    <w:rsid w:val="003F347B"/>
    <w:rsid w:val="003F35DE"/>
    <w:rsid w:val="003F3649"/>
    <w:rsid w:val="003F3666"/>
    <w:rsid w:val="003F366A"/>
    <w:rsid w:val="003F372C"/>
    <w:rsid w:val="003F37A9"/>
    <w:rsid w:val="003F389C"/>
    <w:rsid w:val="003F3952"/>
    <w:rsid w:val="003F39A2"/>
    <w:rsid w:val="003F3A2E"/>
    <w:rsid w:val="003F3CD1"/>
    <w:rsid w:val="003F3D15"/>
    <w:rsid w:val="003F3DA0"/>
    <w:rsid w:val="003F3E87"/>
    <w:rsid w:val="003F3E99"/>
    <w:rsid w:val="003F3F29"/>
    <w:rsid w:val="003F3FD4"/>
    <w:rsid w:val="003F405F"/>
    <w:rsid w:val="003F417F"/>
    <w:rsid w:val="003F423F"/>
    <w:rsid w:val="003F427D"/>
    <w:rsid w:val="003F4345"/>
    <w:rsid w:val="003F43EA"/>
    <w:rsid w:val="003F444A"/>
    <w:rsid w:val="003F4568"/>
    <w:rsid w:val="003F45B9"/>
    <w:rsid w:val="003F4679"/>
    <w:rsid w:val="003F4776"/>
    <w:rsid w:val="003F4927"/>
    <w:rsid w:val="003F4BBC"/>
    <w:rsid w:val="003F4BE5"/>
    <w:rsid w:val="003F4CC0"/>
    <w:rsid w:val="003F4CDA"/>
    <w:rsid w:val="003F4D32"/>
    <w:rsid w:val="003F4D9A"/>
    <w:rsid w:val="003F4E87"/>
    <w:rsid w:val="003F4EF8"/>
    <w:rsid w:val="003F4F35"/>
    <w:rsid w:val="003F504C"/>
    <w:rsid w:val="003F507D"/>
    <w:rsid w:val="003F511C"/>
    <w:rsid w:val="003F53B1"/>
    <w:rsid w:val="003F5552"/>
    <w:rsid w:val="003F567E"/>
    <w:rsid w:val="003F56FE"/>
    <w:rsid w:val="003F597C"/>
    <w:rsid w:val="003F598C"/>
    <w:rsid w:val="003F59A4"/>
    <w:rsid w:val="003F59C1"/>
    <w:rsid w:val="003F5AA1"/>
    <w:rsid w:val="003F5B06"/>
    <w:rsid w:val="003F5D76"/>
    <w:rsid w:val="003F5E25"/>
    <w:rsid w:val="003F5FE4"/>
    <w:rsid w:val="003F6039"/>
    <w:rsid w:val="003F606C"/>
    <w:rsid w:val="003F606F"/>
    <w:rsid w:val="003F60B2"/>
    <w:rsid w:val="003F61E7"/>
    <w:rsid w:val="003F631C"/>
    <w:rsid w:val="003F63C9"/>
    <w:rsid w:val="003F63CC"/>
    <w:rsid w:val="003F6530"/>
    <w:rsid w:val="003F6771"/>
    <w:rsid w:val="003F6965"/>
    <w:rsid w:val="003F69FC"/>
    <w:rsid w:val="003F6CE8"/>
    <w:rsid w:val="003F6D59"/>
    <w:rsid w:val="003F6E05"/>
    <w:rsid w:val="003F6E20"/>
    <w:rsid w:val="003F6E88"/>
    <w:rsid w:val="003F6F19"/>
    <w:rsid w:val="003F6F6A"/>
    <w:rsid w:val="003F715A"/>
    <w:rsid w:val="003F71ED"/>
    <w:rsid w:val="003F729D"/>
    <w:rsid w:val="003F73A1"/>
    <w:rsid w:val="003F757F"/>
    <w:rsid w:val="003F7655"/>
    <w:rsid w:val="003F767B"/>
    <w:rsid w:val="003F767E"/>
    <w:rsid w:val="003F76D7"/>
    <w:rsid w:val="003F77AA"/>
    <w:rsid w:val="003F77F3"/>
    <w:rsid w:val="003F7876"/>
    <w:rsid w:val="003F7B68"/>
    <w:rsid w:val="003F7BE7"/>
    <w:rsid w:val="003F7E7D"/>
    <w:rsid w:val="003F7F35"/>
    <w:rsid w:val="003F7FF0"/>
    <w:rsid w:val="00400072"/>
    <w:rsid w:val="00400131"/>
    <w:rsid w:val="00400161"/>
    <w:rsid w:val="0040017B"/>
    <w:rsid w:val="004001C0"/>
    <w:rsid w:val="00400330"/>
    <w:rsid w:val="00400380"/>
    <w:rsid w:val="0040038A"/>
    <w:rsid w:val="0040039A"/>
    <w:rsid w:val="004003D5"/>
    <w:rsid w:val="00400455"/>
    <w:rsid w:val="00400951"/>
    <w:rsid w:val="00400BAF"/>
    <w:rsid w:val="00400BE4"/>
    <w:rsid w:val="00400C43"/>
    <w:rsid w:val="00400E0E"/>
    <w:rsid w:val="00400F0B"/>
    <w:rsid w:val="0040106D"/>
    <w:rsid w:val="00401082"/>
    <w:rsid w:val="0040115F"/>
    <w:rsid w:val="00401190"/>
    <w:rsid w:val="004011F0"/>
    <w:rsid w:val="0040138D"/>
    <w:rsid w:val="00401410"/>
    <w:rsid w:val="004014FE"/>
    <w:rsid w:val="00401757"/>
    <w:rsid w:val="00401783"/>
    <w:rsid w:val="00401991"/>
    <w:rsid w:val="004019CF"/>
    <w:rsid w:val="00401B21"/>
    <w:rsid w:val="00401B4E"/>
    <w:rsid w:val="00401BF3"/>
    <w:rsid w:val="00401D4C"/>
    <w:rsid w:val="00401D61"/>
    <w:rsid w:val="00401EDE"/>
    <w:rsid w:val="00401FA5"/>
    <w:rsid w:val="00402035"/>
    <w:rsid w:val="00402051"/>
    <w:rsid w:val="00402074"/>
    <w:rsid w:val="004020A3"/>
    <w:rsid w:val="0040235B"/>
    <w:rsid w:val="00402411"/>
    <w:rsid w:val="0040243F"/>
    <w:rsid w:val="00402499"/>
    <w:rsid w:val="0040293A"/>
    <w:rsid w:val="00402B66"/>
    <w:rsid w:val="00402B68"/>
    <w:rsid w:val="00402D75"/>
    <w:rsid w:val="00402D7E"/>
    <w:rsid w:val="00402DC1"/>
    <w:rsid w:val="00402F4E"/>
    <w:rsid w:val="00403047"/>
    <w:rsid w:val="00403138"/>
    <w:rsid w:val="00403254"/>
    <w:rsid w:val="004034EB"/>
    <w:rsid w:val="0040350A"/>
    <w:rsid w:val="004035E8"/>
    <w:rsid w:val="00403644"/>
    <w:rsid w:val="0040368F"/>
    <w:rsid w:val="004036BA"/>
    <w:rsid w:val="00403884"/>
    <w:rsid w:val="004038A5"/>
    <w:rsid w:val="004038C0"/>
    <w:rsid w:val="0040397B"/>
    <w:rsid w:val="00403A16"/>
    <w:rsid w:val="00403A1F"/>
    <w:rsid w:val="00403B0D"/>
    <w:rsid w:val="00403B1C"/>
    <w:rsid w:val="00403D94"/>
    <w:rsid w:val="00404023"/>
    <w:rsid w:val="004040D5"/>
    <w:rsid w:val="00404146"/>
    <w:rsid w:val="00404233"/>
    <w:rsid w:val="0040435C"/>
    <w:rsid w:val="0040461D"/>
    <w:rsid w:val="004047BD"/>
    <w:rsid w:val="00404827"/>
    <w:rsid w:val="00404863"/>
    <w:rsid w:val="00404C13"/>
    <w:rsid w:val="00404CEA"/>
    <w:rsid w:val="00404D03"/>
    <w:rsid w:val="00404D72"/>
    <w:rsid w:val="00404D99"/>
    <w:rsid w:val="00404E6D"/>
    <w:rsid w:val="00404EFE"/>
    <w:rsid w:val="00404F97"/>
    <w:rsid w:val="00405241"/>
    <w:rsid w:val="0040524C"/>
    <w:rsid w:val="0040529F"/>
    <w:rsid w:val="004052BA"/>
    <w:rsid w:val="00405335"/>
    <w:rsid w:val="004053CA"/>
    <w:rsid w:val="004053D3"/>
    <w:rsid w:val="00405597"/>
    <w:rsid w:val="0040563E"/>
    <w:rsid w:val="0040570D"/>
    <w:rsid w:val="0040574E"/>
    <w:rsid w:val="00405785"/>
    <w:rsid w:val="004057DE"/>
    <w:rsid w:val="004059E3"/>
    <w:rsid w:val="00405E6E"/>
    <w:rsid w:val="00405F92"/>
    <w:rsid w:val="0040607A"/>
    <w:rsid w:val="004061A5"/>
    <w:rsid w:val="00406304"/>
    <w:rsid w:val="004065E1"/>
    <w:rsid w:val="00406758"/>
    <w:rsid w:val="0040696A"/>
    <w:rsid w:val="00406B3D"/>
    <w:rsid w:val="00406BED"/>
    <w:rsid w:val="00406C69"/>
    <w:rsid w:val="00406CB3"/>
    <w:rsid w:val="00406CC6"/>
    <w:rsid w:val="00406D35"/>
    <w:rsid w:val="00406D98"/>
    <w:rsid w:val="00406FA3"/>
    <w:rsid w:val="004071E8"/>
    <w:rsid w:val="0040779D"/>
    <w:rsid w:val="00407A41"/>
    <w:rsid w:val="00407AB0"/>
    <w:rsid w:val="00407DAF"/>
    <w:rsid w:val="00407F1F"/>
    <w:rsid w:val="00410045"/>
    <w:rsid w:val="004100B9"/>
    <w:rsid w:val="004101C6"/>
    <w:rsid w:val="00410233"/>
    <w:rsid w:val="004102BD"/>
    <w:rsid w:val="004104CA"/>
    <w:rsid w:val="0041050A"/>
    <w:rsid w:val="00410593"/>
    <w:rsid w:val="004106BE"/>
    <w:rsid w:val="004106C3"/>
    <w:rsid w:val="00410714"/>
    <w:rsid w:val="00410819"/>
    <w:rsid w:val="00410889"/>
    <w:rsid w:val="004108E0"/>
    <w:rsid w:val="00410903"/>
    <w:rsid w:val="00410926"/>
    <w:rsid w:val="004109FD"/>
    <w:rsid w:val="00410A2A"/>
    <w:rsid w:val="00410A4C"/>
    <w:rsid w:val="00410ABC"/>
    <w:rsid w:val="00410BB4"/>
    <w:rsid w:val="00410C15"/>
    <w:rsid w:val="00410DAD"/>
    <w:rsid w:val="00410E6E"/>
    <w:rsid w:val="00410E73"/>
    <w:rsid w:val="00410EB4"/>
    <w:rsid w:val="004110F6"/>
    <w:rsid w:val="00411229"/>
    <w:rsid w:val="00411301"/>
    <w:rsid w:val="00411364"/>
    <w:rsid w:val="00411366"/>
    <w:rsid w:val="0041138F"/>
    <w:rsid w:val="00411582"/>
    <w:rsid w:val="004115D2"/>
    <w:rsid w:val="0041178A"/>
    <w:rsid w:val="004117E9"/>
    <w:rsid w:val="00411996"/>
    <w:rsid w:val="00411C50"/>
    <w:rsid w:val="00411CCA"/>
    <w:rsid w:val="00411CE7"/>
    <w:rsid w:val="00411D9A"/>
    <w:rsid w:val="00411DC0"/>
    <w:rsid w:val="00411E37"/>
    <w:rsid w:val="00411EF1"/>
    <w:rsid w:val="00411F8A"/>
    <w:rsid w:val="00412032"/>
    <w:rsid w:val="00412572"/>
    <w:rsid w:val="00412645"/>
    <w:rsid w:val="0041279C"/>
    <w:rsid w:val="00412909"/>
    <w:rsid w:val="00412B10"/>
    <w:rsid w:val="00412CCE"/>
    <w:rsid w:val="00412DA8"/>
    <w:rsid w:val="00412E7E"/>
    <w:rsid w:val="004130FA"/>
    <w:rsid w:val="00413104"/>
    <w:rsid w:val="00413147"/>
    <w:rsid w:val="0041342A"/>
    <w:rsid w:val="004134CA"/>
    <w:rsid w:val="004136AE"/>
    <w:rsid w:val="004136DD"/>
    <w:rsid w:val="004139C7"/>
    <w:rsid w:val="00413A2C"/>
    <w:rsid w:val="00413B53"/>
    <w:rsid w:val="00413BE9"/>
    <w:rsid w:val="00413C6A"/>
    <w:rsid w:val="00413C8E"/>
    <w:rsid w:val="00413DB1"/>
    <w:rsid w:val="00413F2A"/>
    <w:rsid w:val="00413F72"/>
    <w:rsid w:val="0041403A"/>
    <w:rsid w:val="00414179"/>
    <w:rsid w:val="0041426F"/>
    <w:rsid w:val="00414393"/>
    <w:rsid w:val="004143D2"/>
    <w:rsid w:val="004143E5"/>
    <w:rsid w:val="00414444"/>
    <w:rsid w:val="004145E9"/>
    <w:rsid w:val="0041464B"/>
    <w:rsid w:val="0041469F"/>
    <w:rsid w:val="00414772"/>
    <w:rsid w:val="004147BE"/>
    <w:rsid w:val="00414A53"/>
    <w:rsid w:val="00414AD9"/>
    <w:rsid w:val="00414C8D"/>
    <w:rsid w:val="00414D3F"/>
    <w:rsid w:val="00414E26"/>
    <w:rsid w:val="00414E2A"/>
    <w:rsid w:val="00414FA2"/>
    <w:rsid w:val="00415008"/>
    <w:rsid w:val="0041517E"/>
    <w:rsid w:val="00415312"/>
    <w:rsid w:val="0041533E"/>
    <w:rsid w:val="004153B7"/>
    <w:rsid w:val="00415447"/>
    <w:rsid w:val="00415559"/>
    <w:rsid w:val="004155D8"/>
    <w:rsid w:val="00415694"/>
    <w:rsid w:val="004156A1"/>
    <w:rsid w:val="004157D6"/>
    <w:rsid w:val="004157DA"/>
    <w:rsid w:val="00415A7D"/>
    <w:rsid w:val="00415CC1"/>
    <w:rsid w:val="00415D85"/>
    <w:rsid w:val="00415D8E"/>
    <w:rsid w:val="0041612D"/>
    <w:rsid w:val="0041615D"/>
    <w:rsid w:val="004161A0"/>
    <w:rsid w:val="004162E1"/>
    <w:rsid w:val="0041636B"/>
    <w:rsid w:val="00416628"/>
    <w:rsid w:val="00416762"/>
    <w:rsid w:val="004167A4"/>
    <w:rsid w:val="00416C2A"/>
    <w:rsid w:val="00416CAA"/>
    <w:rsid w:val="00416D64"/>
    <w:rsid w:val="00416E55"/>
    <w:rsid w:val="00416F37"/>
    <w:rsid w:val="00416FFB"/>
    <w:rsid w:val="0041717F"/>
    <w:rsid w:val="0041725E"/>
    <w:rsid w:val="00417260"/>
    <w:rsid w:val="00417275"/>
    <w:rsid w:val="00417308"/>
    <w:rsid w:val="00417367"/>
    <w:rsid w:val="004173FC"/>
    <w:rsid w:val="00417687"/>
    <w:rsid w:val="00417765"/>
    <w:rsid w:val="004177E7"/>
    <w:rsid w:val="0041782E"/>
    <w:rsid w:val="004179DF"/>
    <w:rsid w:val="004179E4"/>
    <w:rsid w:val="00417A28"/>
    <w:rsid w:val="00417ACF"/>
    <w:rsid w:val="00417B63"/>
    <w:rsid w:val="00417B74"/>
    <w:rsid w:val="00417BC7"/>
    <w:rsid w:val="00417CEE"/>
    <w:rsid w:val="00417EB8"/>
    <w:rsid w:val="004200FC"/>
    <w:rsid w:val="00420105"/>
    <w:rsid w:val="0042016B"/>
    <w:rsid w:val="004202CF"/>
    <w:rsid w:val="004203A1"/>
    <w:rsid w:val="00420449"/>
    <w:rsid w:val="0042052F"/>
    <w:rsid w:val="0042053A"/>
    <w:rsid w:val="00420789"/>
    <w:rsid w:val="004207C1"/>
    <w:rsid w:val="00420920"/>
    <w:rsid w:val="004209C2"/>
    <w:rsid w:val="00420A24"/>
    <w:rsid w:val="00420AFD"/>
    <w:rsid w:val="00420BF2"/>
    <w:rsid w:val="00420DC6"/>
    <w:rsid w:val="00420E11"/>
    <w:rsid w:val="00420F7A"/>
    <w:rsid w:val="00421153"/>
    <w:rsid w:val="00421198"/>
    <w:rsid w:val="004211E2"/>
    <w:rsid w:val="0042149C"/>
    <w:rsid w:val="004214EC"/>
    <w:rsid w:val="0042178D"/>
    <w:rsid w:val="004217DD"/>
    <w:rsid w:val="00421885"/>
    <w:rsid w:val="0042188A"/>
    <w:rsid w:val="00421955"/>
    <w:rsid w:val="004219FD"/>
    <w:rsid w:val="00421CA9"/>
    <w:rsid w:val="00421D48"/>
    <w:rsid w:val="00421E1C"/>
    <w:rsid w:val="00421EA9"/>
    <w:rsid w:val="00421EB9"/>
    <w:rsid w:val="0042206E"/>
    <w:rsid w:val="0042215C"/>
    <w:rsid w:val="004221CD"/>
    <w:rsid w:val="0042220E"/>
    <w:rsid w:val="004223A4"/>
    <w:rsid w:val="004223D0"/>
    <w:rsid w:val="0042268B"/>
    <w:rsid w:val="004226EB"/>
    <w:rsid w:val="0042285C"/>
    <w:rsid w:val="0042285D"/>
    <w:rsid w:val="00422988"/>
    <w:rsid w:val="00422AE5"/>
    <w:rsid w:val="00422CA4"/>
    <w:rsid w:val="00422CFC"/>
    <w:rsid w:val="00422E58"/>
    <w:rsid w:val="00422EA8"/>
    <w:rsid w:val="00422FAC"/>
    <w:rsid w:val="00423047"/>
    <w:rsid w:val="004231A7"/>
    <w:rsid w:val="00423298"/>
    <w:rsid w:val="004233B9"/>
    <w:rsid w:val="0042346D"/>
    <w:rsid w:val="004237F6"/>
    <w:rsid w:val="00423948"/>
    <w:rsid w:val="00423A32"/>
    <w:rsid w:val="00423BD4"/>
    <w:rsid w:val="00423C58"/>
    <w:rsid w:val="00423E5E"/>
    <w:rsid w:val="00423E63"/>
    <w:rsid w:val="00423E66"/>
    <w:rsid w:val="00424004"/>
    <w:rsid w:val="00424029"/>
    <w:rsid w:val="004240C1"/>
    <w:rsid w:val="00424211"/>
    <w:rsid w:val="0042433E"/>
    <w:rsid w:val="00424533"/>
    <w:rsid w:val="004245CA"/>
    <w:rsid w:val="0042480E"/>
    <w:rsid w:val="00424827"/>
    <w:rsid w:val="004248E4"/>
    <w:rsid w:val="00424937"/>
    <w:rsid w:val="0042494E"/>
    <w:rsid w:val="004249E8"/>
    <w:rsid w:val="00424B1B"/>
    <w:rsid w:val="00424B4A"/>
    <w:rsid w:val="00424BBA"/>
    <w:rsid w:val="00424CB2"/>
    <w:rsid w:val="00424E19"/>
    <w:rsid w:val="004250E3"/>
    <w:rsid w:val="0042518A"/>
    <w:rsid w:val="00425220"/>
    <w:rsid w:val="004252E6"/>
    <w:rsid w:val="00425354"/>
    <w:rsid w:val="00425404"/>
    <w:rsid w:val="00425452"/>
    <w:rsid w:val="004254CE"/>
    <w:rsid w:val="00425717"/>
    <w:rsid w:val="00425823"/>
    <w:rsid w:val="004258DF"/>
    <w:rsid w:val="00425901"/>
    <w:rsid w:val="00425961"/>
    <w:rsid w:val="00425968"/>
    <w:rsid w:val="00425994"/>
    <w:rsid w:val="004259FF"/>
    <w:rsid w:val="00425BBF"/>
    <w:rsid w:val="00425D70"/>
    <w:rsid w:val="00425DB4"/>
    <w:rsid w:val="00425DBE"/>
    <w:rsid w:val="00425E8B"/>
    <w:rsid w:val="00425E97"/>
    <w:rsid w:val="00425F00"/>
    <w:rsid w:val="004260A6"/>
    <w:rsid w:val="00426158"/>
    <w:rsid w:val="0042618C"/>
    <w:rsid w:val="0042633E"/>
    <w:rsid w:val="004263EE"/>
    <w:rsid w:val="0042658A"/>
    <w:rsid w:val="00426596"/>
    <w:rsid w:val="00426644"/>
    <w:rsid w:val="004266C4"/>
    <w:rsid w:val="00426799"/>
    <w:rsid w:val="004267B5"/>
    <w:rsid w:val="004267E1"/>
    <w:rsid w:val="0042682C"/>
    <w:rsid w:val="004268B8"/>
    <w:rsid w:val="0042693A"/>
    <w:rsid w:val="00426B96"/>
    <w:rsid w:val="00426B9E"/>
    <w:rsid w:val="00426BEB"/>
    <w:rsid w:val="00426C99"/>
    <w:rsid w:val="00426D0B"/>
    <w:rsid w:val="00426E8A"/>
    <w:rsid w:val="00426F15"/>
    <w:rsid w:val="00426F5E"/>
    <w:rsid w:val="00426F9E"/>
    <w:rsid w:val="0042708F"/>
    <w:rsid w:val="004271A9"/>
    <w:rsid w:val="004272AE"/>
    <w:rsid w:val="00427425"/>
    <w:rsid w:val="004275D2"/>
    <w:rsid w:val="004276A0"/>
    <w:rsid w:val="004276ED"/>
    <w:rsid w:val="00427822"/>
    <w:rsid w:val="004278A0"/>
    <w:rsid w:val="004279E7"/>
    <w:rsid w:val="00427AE3"/>
    <w:rsid w:val="00427CDB"/>
    <w:rsid w:val="00427D77"/>
    <w:rsid w:val="00427D83"/>
    <w:rsid w:val="00427EBD"/>
    <w:rsid w:val="00427FEC"/>
    <w:rsid w:val="004300F4"/>
    <w:rsid w:val="00430229"/>
    <w:rsid w:val="004305A9"/>
    <w:rsid w:val="0043072E"/>
    <w:rsid w:val="004307FD"/>
    <w:rsid w:val="00430895"/>
    <w:rsid w:val="00430968"/>
    <w:rsid w:val="004309CE"/>
    <w:rsid w:val="00430A93"/>
    <w:rsid w:val="00430B59"/>
    <w:rsid w:val="00430C17"/>
    <w:rsid w:val="00430C65"/>
    <w:rsid w:val="00430E5E"/>
    <w:rsid w:val="00430E91"/>
    <w:rsid w:val="0043101D"/>
    <w:rsid w:val="00431053"/>
    <w:rsid w:val="00431066"/>
    <w:rsid w:val="0043122C"/>
    <w:rsid w:val="0043139C"/>
    <w:rsid w:val="004313E7"/>
    <w:rsid w:val="00431492"/>
    <w:rsid w:val="00431617"/>
    <w:rsid w:val="00431857"/>
    <w:rsid w:val="004319BA"/>
    <w:rsid w:val="00431C20"/>
    <w:rsid w:val="00431CF9"/>
    <w:rsid w:val="00431D05"/>
    <w:rsid w:val="00431D39"/>
    <w:rsid w:val="00431D3A"/>
    <w:rsid w:val="00431EE3"/>
    <w:rsid w:val="00431FCF"/>
    <w:rsid w:val="00432187"/>
    <w:rsid w:val="0043237A"/>
    <w:rsid w:val="0043238E"/>
    <w:rsid w:val="004323EA"/>
    <w:rsid w:val="0043240E"/>
    <w:rsid w:val="00432543"/>
    <w:rsid w:val="0043260D"/>
    <w:rsid w:val="0043269D"/>
    <w:rsid w:val="004326A1"/>
    <w:rsid w:val="00432793"/>
    <w:rsid w:val="00432831"/>
    <w:rsid w:val="00432837"/>
    <w:rsid w:val="00432976"/>
    <w:rsid w:val="00432A28"/>
    <w:rsid w:val="00432AD4"/>
    <w:rsid w:val="00432AE4"/>
    <w:rsid w:val="00432B7C"/>
    <w:rsid w:val="00432B8F"/>
    <w:rsid w:val="00432C07"/>
    <w:rsid w:val="00432C3D"/>
    <w:rsid w:val="00432D24"/>
    <w:rsid w:val="00432E5A"/>
    <w:rsid w:val="00432F5B"/>
    <w:rsid w:val="00432FEC"/>
    <w:rsid w:val="00433148"/>
    <w:rsid w:val="004331B0"/>
    <w:rsid w:val="004331C7"/>
    <w:rsid w:val="004332F8"/>
    <w:rsid w:val="004333EE"/>
    <w:rsid w:val="00433677"/>
    <w:rsid w:val="004336AC"/>
    <w:rsid w:val="00433784"/>
    <w:rsid w:val="004337D2"/>
    <w:rsid w:val="004339E8"/>
    <w:rsid w:val="00433A53"/>
    <w:rsid w:val="00433AC6"/>
    <w:rsid w:val="00433B68"/>
    <w:rsid w:val="00433D3D"/>
    <w:rsid w:val="00433D5D"/>
    <w:rsid w:val="00433DF3"/>
    <w:rsid w:val="00433E4B"/>
    <w:rsid w:val="00433E74"/>
    <w:rsid w:val="00433F6A"/>
    <w:rsid w:val="00433FDD"/>
    <w:rsid w:val="00434043"/>
    <w:rsid w:val="00434204"/>
    <w:rsid w:val="00434208"/>
    <w:rsid w:val="00434215"/>
    <w:rsid w:val="0043452C"/>
    <w:rsid w:val="0043466B"/>
    <w:rsid w:val="004347B7"/>
    <w:rsid w:val="004347EC"/>
    <w:rsid w:val="004347EF"/>
    <w:rsid w:val="00434887"/>
    <w:rsid w:val="004349E8"/>
    <w:rsid w:val="00434B5D"/>
    <w:rsid w:val="0043505B"/>
    <w:rsid w:val="004350BC"/>
    <w:rsid w:val="0043517A"/>
    <w:rsid w:val="004351B7"/>
    <w:rsid w:val="004352BA"/>
    <w:rsid w:val="00435457"/>
    <w:rsid w:val="00435556"/>
    <w:rsid w:val="00435571"/>
    <w:rsid w:val="004355B6"/>
    <w:rsid w:val="004355FD"/>
    <w:rsid w:val="00435672"/>
    <w:rsid w:val="004356DD"/>
    <w:rsid w:val="004356F2"/>
    <w:rsid w:val="004357EA"/>
    <w:rsid w:val="00435845"/>
    <w:rsid w:val="00435856"/>
    <w:rsid w:val="004358AD"/>
    <w:rsid w:val="00435962"/>
    <w:rsid w:val="00435993"/>
    <w:rsid w:val="00435BC7"/>
    <w:rsid w:val="00435D12"/>
    <w:rsid w:val="00435D1C"/>
    <w:rsid w:val="00435E91"/>
    <w:rsid w:val="00435E9D"/>
    <w:rsid w:val="00435F4C"/>
    <w:rsid w:val="00436015"/>
    <w:rsid w:val="0043601D"/>
    <w:rsid w:val="00436078"/>
    <w:rsid w:val="0043628F"/>
    <w:rsid w:val="004362A6"/>
    <w:rsid w:val="004362C6"/>
    <w:rsid w:val="004362D2"/>
    <w:rsid w:val="00436349"/>
    <w:rsid w:val="0043640F"/>
    <w:rsid w:val="00436457"/>
    <w:rsid w:val="004364FC"/>
    <w:rsid w:val="00436667"/>
    <w:rsid w:val="0043674B"/>
    <w:rsid w:val="0043675B"/>
    <w:rsid w:val="004367FB"/>
    <w:rsid w:val="004368A0"/>
    <w:rsid w:val="00436936"/>
    <w:rsid w:val="00436B22"/>
    <w:rsid w:val="00436B65"/>
    <w:rsid w:val="00436D15"/>
    <w:rsid w:val="00436D22"/>
    <w:rsid w:val="0043700E"/>
    <w:rsid w:val="00437069"/>
    <w:rsid w:val="004370AB"/>
    <w:rsid w:val="004371A1"/>
    <w:rsid w:val="004371CE"/>
    <w:rsid w:val="0043733B"/>
    <w:rsid w:val="0043737B"/>
    <w:rsid w:val="00437426"/>
    <w:rsid w:val="004375DC"/>
    <w:rsid w:val="004376EB"/>
    <w:rsid w:val="00437755"/>
    <w:rsid w:val="00437889"/>
    <w:rsid w:val="004378D4"/>
    <w:rsid w:val="004379AC"/>
    <w:rsid w:val="00437A27"/>
    <w:rsid w:val="00437A53"/>
    <w:rsid w:val="00437B9E"/>
    <w:rsid w:val="00437C05"/>
    <w:rsid w:val="00437E2E"/>
    <w:rsid w:val="00437E3E"/>
    <w:rsid w:val="0044005B"/>
    <w:rsid w:val="004400A0"/>
    <w:rsid w:val="00440295"/>
    <w:rsid w:val="00440301"/>
    <w:rsid w:val="00440332"/>
    <w:rsid w:val="004404DD"/>
    <w:rsid w:val="0044050B"/>
    <w:rsid w:val="00440537"/>
    <w:rsid w:val="004406DC"/>
    <w:rsid w:val="00440A4E"/>
    <w:rsid w:val="00440A99"/>
    <w:rsid w:val="00440C19"/>
    <w:rsid w:val="00440D81"/>
    <w:rsid w:val="00440E68"/>
    <w:rsid w:val="00440E7F"/>
    <w:rsid w:val="00441005"/>
    <w:rsid w:val="004410FE"/>
    <w:rsid w:val="00441349"/>
    <w:rsid w:val="0044159E"/>
    <w:rsid w:val="004417A1"/>
    <w:rsid w:val="00441866"/>
    <w:rsid w:val="00441915"/>
    <w:rsid w:val="00441A0B"/>
    <w:rsid w:val="00441AA0"/>
    <w:rsid w:val="00441B0B"/>
    <w:rsid w:val="00441BDA"/>
    <w:rsid w:val="00441BE0"/>
    <w:rsid w:val="00441BEF"/>
    <w:rsid w:val="00441C14"/>
    <w:rsid w:val="00441D03"/>
    <w:rsid w:val="00441DB1"/>
    <w:rsid w:val="00441DCE"/>
    <w:rsid w:val="00441E3A"/>
    <w:rsid w:val="00441EC1"/>
    <w:rsid w:val="00441F77"/>
    <w:rsid w:val="00441FA4"/>
    <w:rsid w:val="00442019"/>
    <w:rsid w:val="004422B4"/>
    <w:rsid w:val="004422FD"/>
    <w:rsid w:val="004422FF"/>
    <w:rsid w:val="00442333"/>
    <w:rsid w:val="00442381"/>
    <w:rsid w:val="00442405"/>
    <w:rsid w:val="004425DE"/>
    <w:rsid w:val="0044298F"/>
    <w:rsid w:val="00442A05"/>
    <w:rsid w:val="00442BB1"/>
    <w:rsid w:val="00442C11"/>
    <w:rsid w:val="00442C23"/>
    <w:rsid w:val="00442DA0"/>
    <w:rsid w:val="00442E65"/>
    <w:rsid w:val="00442F38"/>
    <w:rsid w:val="0044300B"/>
    <w:rsid w:val="00443207"/>
    <w:rsid w:val="00443281"/>
    <w:rsid w:val="004432DE"/>
    <w:rsid w:val="004433D3"/>
    <w:rsid w:val="0044343A"/>
    <w:rsid w:val="00443648"/>
    <w:rsid w:val="00443658"/>
    <w:rsid w:val="00443679"/>
    <w:rsid w:val="0044367E"/>
    <w:rsid w:val="004438A5"/>
    <w:rsid w:val="00443944"/>
    <w:rsid w:val="00443A81"/>
    <w:rsid w:val="00443A9F"/>
    <w:rsid w:val="00443CEF"/>
    <w:rsid w:val="00443E28"/>
    <w:rsid w:val="0044401D"/>
    <w:rsid w:val="004440C0"/>
    <w:rsid w:val="004441B2"/>
    <w:rsid w:val="004441EF"/>
    <w:rsid w:val="004442F9"/>
    <w:rsid w:val="00444322"/>
    <w:rsid w:val="004446E5"/>
    <w:rsid w:val="0044470F"/>
    <w:rsid w:val="00444710"/>
    <w:rsid w:val="00444777"/>
    <w:rsid w:val="0044485E"/>
    <w:rsid w:val="0044494D"/>
    <w:rsid w:val="0044498D"/>
    <w:rsid w:val="004449F0"/>
    <w:rsid w:val="00444A63"/>
    <w:rsid w:val="00444D11"/>
    <w:rsid w:val="00445234"/>
    <w:rsid w:val="00445265"/>
    <w:rsid w:val="00445417"/>
    <w:rsid w:val="0044545A"/>
    <w:rsid w:val="0044554E"/>
    <w:rsid w:val="004457B9"/>
    <w:rsid w:val="00445881"/>
    <w:rsid w:val="00445A99"/>
    <w:rsid w:val="00445AA3"/>
    <w:rsid w:val="00445ACC"/>
    <w:rsid w:val="00445ACD"/>
    <w:rsid w:val="00445B8D"/>
    <w:rsid w:val="00445CDF"/>
    <w:rsid w:val="00445D5A"/>
    <w:rsid w:val="00445D67"/>
    <w:rsid w:val="00445FF9"/>
    <w:rsid w:val="0044606A"/>
    <w:rsid w:val="00446131"/>
    <w:rsid w:val="00446144"/>
    <w:rsid w:val="00446191"/>
    <w:rsid w:val="004462E7"/>
    <w:rsid w:val="004462F5"/>
    <w:rsid w:val="004464A6"/>
    <w:rsid w:val="0044665B"/>
    <w:rsid w:val="004468D6"/>
    <w:rsid w:val="00446BDD"/>
    <w:rsid w:val="00446CC5"/>
    <w:rsid w:val="00446D35"/>
    <w:rsid w:val="00446D42"/>
    <w:rsid w:val="00446D63"/>
    <w:rsid w:val="00446DC5"/>
    <w:rsid w:val="00446F42"/>
    <w:rsid w:val="00447222"/>
    <w:rsid w:val="0044724D"/>
    <w:rsid w:val="00447292"/>
    <w:rsid w:val="00447304"/>
    <w:rsid w:val="00447484"/>
    <w:rsid w:val="00447516"/>
    <w:rsid w:val="0044760E"/>
    <w:rsid w:val="0044798E"/>
    <w:rsid w:val="004479C2"/>
    <w:rsid w:val="004479EE"/>
    <w:rsid w:val="00447B19"/>
    <w:rsid w:val="00447B24"/>
    <w:rsid w:val="00447B93"/>
    <w:rsid w:val="00447BA9"/>
    <w:rsid w:val="00447C1B"/>
    <w:rsid w:val="00447ECC"/>
    <w:rsid w:val="00447F2A"/>
    <w:rsid w:val="00447F65"/>
    <w:rsid w:val="00447F9F"/>
    <w:rsid w:val="00450078"/>
    <w:rsid w:val="004500BE"/>
    <w:rsid w:val="0045021D"/>
    <w:rsid w:val="00450245"/>
    <w:rsid w:val="00450346"/>
    <w:rsid w:val="0045057E"/>
    <w:rsid w:val="004505F3"/>
    <w:rsid w:val="00450853"/>
    <w:rsid w:val="00450864"/>
    <w:rsid w:val="00450938"/>
    <w:rsid w:val="00450978"/>
    <w:rsid w:val="004509D1"/>
    <w:rsid w:val="00450A1D"/>
    <w:rsid w:val="00450A1E"/>
    <w:rsid w:val="00450BB9"/>
    <w:rsid w:val="00450CFE"/>
    <w:rsid w:val="00450DFE"/>
    <w:rsid w:val="00450E78"/>
    <w:rsid w:val="0045103F"/>
    <w:rsid w:val="004511F9"/>
    <w:rsid w:val="00451269"/>
    <w:rsid w:val="00451377"/>
    <w:rsid w:val="0045149C"/>
    <w:rsid w:val="004514D3"/>
    <w:rsid w:val="00451543"/>
    <w:rsid w:val="00451601"/>
    <w:rsid w:val="004516DF"/>
    <w:rsid w:val="0045174D"/>
    <w:rsid w:val="00451835"/>
    <w:rsid w:val="004518DA"/>
    <w:rsid w:val="00451DE1"/>
    <w:rsid w:val="00451DF3"/>
    <w:rsid w:val="00451E2D"/>
    <w:rsid w:val="00452042"/>
    <w:rsid w:val="0045211C"/>
    <w:rsid w:val="00452169"/>
    <w:rsid w:val="0045216E"/>
    <w:rsid w:val="00452231"/>
    <w:rsid w:val="0045233B"/>
    <w:rsid w:val="0045246B"/>
    <w:rsid w:val="0045248D"/>
    <w:rsid w:val="00452643"/>
    <w:rsid w:val="0045268D"/>
    <w:rsid w:val="0045274A"/>
    <w:rsid w:val="00452755"/>
    <w:rsid w:val="004527F9"/>
    <w:rsid w:val="004529C4"/>
    <w:rsid w:val="004529E0"/>
    <w:rsid w:val="00452A2E"/>
    <w:rsid w:val="00452B0E"/>
    <w:rsid w:val="00452BE3"/>
    <w:rsid w:val="00452EE1"/>
    <w:rsid w:val="00452EF0"/>
    <w:rsid w:val="00453100"/>
    <w:rsid w:val="00453427"/>
    <w:rsid w:val="004535DB"/>
    <w:rsid w:val="00453757"/>
    <w:rsid w:val="00453A34"/>
    <w:rsid w:val="00453A42"/>
    <w:rsid w:val="00453C86"/>
    <w:rsid w:val="00453CBE"/>
    <w:rsid w:val="00453D15"/>
    <w:rsid w:val="00453E2E"/>
    <w:rsid w:val="00453F1C"/>
    <w:rsid w:val="00453F69"/>
    <w:rsid w:val="00453FD4"/>
    <w:rsid w:val="0045408F"/>
    <w:rsid w:val="004540A9"/>
    <w:rsid w:val="004540E3"/>
    <w:rsid w:val="0045410C"/>
    <w:rsid w:val="004543F5"/>
    <w:rsid w:val="0045447E"/>
    <w:rsid w:val="004544C9"/>
    <w:rsid w:val="004545E0"/>
    <w:rsid w:val="0045462B"/>
    <w:rsid w:val="00454635"/>
    <w:rsid w:val="00454660"/>
    <w:rsid w:val="0045476A"/>
    <w:rsid w:val="0045477A"/>
    <w:rsid w:val="004547A1"/>
    <w:rsid w:val="0045481C"/>
    <w:rsid w:val="00454BB7"/>
    <w:rsid w:val="00454C5E"/>
    <w:rsid w:val="00454D08"/>
    <w:rsid w:val="00454E37"/>
    <w:rsid w:val="00454E99"/>
    <w:rsid w:val="00454F1D"/>
    <w:rsid w:val="00454F34"/>
    <w:rsid w:val="00454F62"/>
    <w:rsid w:val="00454FFB"/>
    <w:rsid w:val="00455026"/>
    <w:rsid w:val="004551AF"/>
    <w:rsid w:val="00455366"/>
    <w:rsid w:val="0045536B"/>
    <w:rsid w:val="004554A9"/>
    <w:rsid w:val="0045574F"/>
    <w:rsid w:val="004557D7"/>
    <w:rsid w:val="00455844"/>
    <w:rsid w:val="004558C7"/>
    <w:rsid w:val="00455960"/>
    <w:rsid w:val="004559CE"/>
    <w:rsid w:val="004559F1"/>
    <w:rsid w:val="00455D3E"/>
    <w:rsid w:val="00455E9C"/>
    <w:rsid w:val="00455F1D"/>
    <w:rsid w:val="00455F31"/>
    <w:rsid w:val="00455F5F"/>
    <w:rsid w:val="004560D7"/>
    <w:rsid w:val="0045619E"/>
    <w:rsid w:val="0045629C"/>
    <w:rsid w:val="0045666F"/>
    <w:rsid w:val="004566F6"/>
    <w:rsid w:val="00456705"/>
    <w:rsid w:val="004567EC"/>
    <w:rsid w:val="004567ED"/>
    <w:rsid w:val="004568A4"/>
    <w:rsid w:val="0045690F"/>
    <w:rsid w:val="00456AB1"/>
    <w:rsid w:val="00456AE6"/>
    <w:rsid w:val="00456C8C"/>
    <w:rsid w:val="00456CE7"/>
    <w:rsid w:val="00456EEC"/>
    <w:rsid w:val="004570BD"/>
    <w:rsid w:val="004570CB"/>
    <w:rsid w:val="004571E4"/>
    <w:rsid w:val="00457306"/>
    <w:rsid w:val="004574BB"/>
    <w:rsid w:val="00457576"/>
    <w:rsid w:val="0045758E"/>
    <w:rsid w:val="0045761F"/>
    <w:rsid w:val="00457643"/>
    <w:rsid w:val="0045768A"/>
    <w:rsid w:val="00457944"/>
    <w:rsid w:val="00457961"/>
    <w:rsid w:val="00457970"/>
    <w:rsid w:val="0045799E"/>
    <w:rsid w:val="004579B8"/>
    <w:rsid w:val="004579EB"/>
    <w:rsid w:val="00457AF6"/>
    <w:rsid w:val="00457B3C"/>
    <w:rsid w:val="00457D08"/>
    <w:rsid w:val="00457E7E"/>
    <w:rsid w:val="00457ED1"/>
    <w:rsid w:val="0046009A"/>
    <w:rsid w:val="00460170"/>
    <w:rsid w:val="004601D7"/>
    <w:rsid w:val="00460285"/>
    <w:rsid w:val="004602F6"/>
    <w:rsid w:val="00460337"/>
    <w:rsid w:val="004603C9"/>
    <w:rsid w:val="004603D4"/>
    <w:rsid w:val="00460486"/>
    <w:rsid w:val="004604E4"/>
    <w:rsid w:val="004605AE"/>
    <w:rsid w:val="0046061B"/>
    <w:rsid w:val="004607F0"/>
    <w:rsid w:val="00460807"/>
    <w:rsid w:val="00460873"/>
    <w:rsid w:val="00460BF2"/>
    <w:rsid w:val="00460BF7"/>
    <w:rsid w:val="00460CC7"/>
    <w:rsid w:val="00460D34"/>
    <w:rsid w:val="00460E1A"/>
    <w:rsid w:val="00460F5F"/>
    <w:rsid w:val="0046100C"/>
    <w:rsid w:val="0046106B"/>
    <w:rsid w:val="00461089"/>
    <w:rsid w:val="004612B7"/>
    <w:rsid w:val="004612C7"/>
    <w:rsid w:val="0046151D"/>
    <w:rsid w:val="00461531"/>
    <w:rsid w:val="004616EE"/>
    <w:rsid w:val="00461898"/>
    <w:rsid w:val="004619D1"/>
    <w:rsid w:val="00461A3B"/>
    <w:rsid w:val="00461B6D"/>
    <w:rsid w:val="00461C32"/>
    <w:rsid w:val="00461CCD"/>
    <w:rsid w:val="00461D6B"/>
    <w:rsid w:val="00461E3D"/>
    <w:rsid w:val="00461F94"/>
    <w:rsid w:val="004622D3"/>
    <w:rsid w:val="00462522"/>
    <w:rsid w:val="00462537"/>
    <w:rsid w:val="004626F5"/>
    <w:rsid w:val="00462734"/>
    <w:rsid w:val="0046285C"/>
    <w:rsid w:val="00462947"/>
    <w:rsid w:val="00462D94"/>
    <w:rsid w:val="00462D9B"/>
    <w:rsid w:val="00462DC1"/>
    <w:rsid w:val="00462E99"/>
    <w:rsid w:val="00462F03"/>
    <w:rsid w:val="00462F7B"/>
    <w:rsid w:val="0046305D"/>
    <w:rsid w:val="0046337F"/>
    <w:rsid w:val="0046340E"/>
    <w:rsid w:val="00463527"/>
    <w:rsid w:val="0046362C"/>
    <w:rsid w:val="00463659"/>
    <w:rsid w:val="004636B7"/>
    <w:rsid w:val="0046379B"/>
    <w:rsid w:val="004637DB"/>
    <w:rsid w:val="004637DC"/>
    <w:rsid w:val="004638BC"/>
    <w:rsid w:val="00463962"/>
    <w:rsid w:val="004639A9"/>
    <w:rsid w:val="00463A6E"/>
    <w:rsid w:val="00463C19"/>
    <w:rsid w:val="00463C42"/>
    <w:rsid w:val="00463CBA"/>
    <w:rsid w:val="00463D12"/>
    <w:rsid w:val="00463DF8"/>
    <w:rsid w:val="00463DFE"/>
    <w:rsid w:val="00463F2C"/>
    <w:rsid w:val="00463F44"/>
    <w:rsid w:val="00463F48"/>
    <w:rsid w:val="00463FF2"/>
    <w:rsid w:val="00464087"/>
    <w:rsid w:val="00464099"/>
    <w:rsid w:val="00464121"/>
    <w:rsid w:val="004641B6"/>
    <w:rsid w:val="00464287"/>
    <w:rsid w:val="004642AA"/>
    <w:rsid w:val="00464410"/>
    <w:rsid w:val="0046446B"/>
    <w:rsid w:val="00464567"/>
    <w:rsid w:val="0046457B"/>
    <w:rsid w:val="004646DB"/>
    <w:rsid w:val="00464767"/>
    <w:rsid w:val="0046481F"/>
    <w:rsid w:val="004649A1"/>
    <w:rsid w:val="004649AB"/>
    <w:rsid w:val="00464A4A"/>
    <w:rsid w:val="00464B0A"/>
    <w:rsid w:val="00464B5F"/>
    <w:rsid w:val="00464BB4"/>
    <w:rsid w:val="00464BCC"/>
    <w:rsid w:val="00464C75"/>
    <w:rsid w:val="00464D29"/>
    <w:rsid w:val="00464D6F"/>
    <w:rsid w:val="00464EF9"/>
    <w:rsid w:val="00464FE1"/>
    <w:rsid w:val="004651F5"/>
    <w:rsid w:val="0046528B"/>
    <w:rsid w:val="00465309"/>
    <w:rsid w:val="0046542E"/>
    <w:rsid w:val="004654C5"/>
    <w:rsid w:val="004654D9"/>
    <w:rsid w:val="00465524"/>
    <w:rsid w:val="00465559"/>
    <w:rsid w:val="00465583"/>
    <w:rsid w:val="0046582C"/>
    <w:rsid w:val="00465846"/>
    <w:rsid w:val="004659C2"/>
    <w:rsid w:val="00465A0F"/>
    <w:rsid w:val="00465AE1"/>
    <w:rsid w:val="00465C16"/>
    <w:rsid w:val="00465CB4"/>
    <w:rsid w:val="00465DCE"/>
    <w:rsid w:val="00465E41"/>
    <w:rsid w:val="004660E4"/>
    <w:rsid w:val="00466294"/>
    <w:rsid w:val="004662DE"/>
    <w:rsid w:val="00466361"/>
    <w:rsid w:val="0046649B"/>
    <w:rsid w:val="00466510"/>
    <w:rsid w:val="00466513"/>
    <w:rsid w:val="00466555"/>
    <w:rsid w:val="004666A8"/>
    <w:rsid w:val="00466706"/>
    <w:rsid w:val="00466786"/>
    <w:rsid w:val="004667A0"/>
    <w:rsid w:val="004667DA"/>
    <w:rsid w:val="004667E4"/>
    <w:rsid w:val="0046685B"/>
    <w:rsid w:val="00466D8F"/>
    <w:rsid w:val="004670E1"/>
    <w:rsid w:val="00467204"/>
    <w:rsid w:val="0046725B"/>
    <w:rsid w:val="004672ED"/>
    <w:rsid w:val="00467341"/>
    <w:rsid w:val="00467445"/>
    <w:rsid w:val="0046750C"/>
    <w:rsid w:val="0046758B"/>
    <w:rsid w:val="004676A0"/>
    <w:rsid w:val="00467744"/>
    <w:rsid w:val="0046777C"/>
    <w:rsid w:val="00467956"/>
    <w:rsid w:val="00467B5D"/>
    <w:rsid w:val="00467C48"/>
    <w:rsid w:val="00467CBD"/>
    <w:rsid w:val="00467D41"/>
    <w:rsid w:val="00467E07"/>
    <w:rsid w:val="00467E9B"/>
    <w:rsid w:val="00467F08"/>
    <w:rsid w:val="00467F24"/>
    <w:rsid w:val="00467F8C"/>
    <w:rsid w:val="004700EB"/>
    <w:rsid w:val="0047014B"/>
    <w:rsid w:val="0047020A"/>
    <w:rsid w:val="004702DE"/>
    <w:rsid w:val="00470857"/>
    <w:rsid w:val="004708A3"/>
    <w:rsid w:val="004708B2"/>
    <w:rsid w:val="004708FC"/>
    <w:rsid w:val="004709BC"/>
    <w:rsid w:val="00470A19"/>
    <w:rsid w:val="00470A44"/>
    <w:rsid w:val="00470A86"/>
    <w:rsid w:val="00470C01"/>
    <w:rsid w:val="00470DCD"/>
    <w:rsid w:val="00470F8E"/>
    <w:rsid w:val="004710B5"/>
    <w:rsid w:val="004710D7"/>
    <w:rsid w:val="004711B8"/>
    <w:rsid w:val="00471236"/>
    <w:rsid w:val="004712BF"/>
    <w:rsid w:val="00471323"/>
    <w:rsid w:val="00471563"/>
    <w:rsid w:val="00471597"/>
    <w:rsid w:val="0047160A"/>
    <w:rsid w:val="0047163D"/>
    <w:rsid w:val="004716B9"/>
    <w:rsid w:val="004716C3"/>
    <w:rsid w:val="00471704"/>
    <w:rsid w:val="00471D6A"/>
    <w:rsid w:val="00471DF6"/>
    <w:rsid w:val="00471E18"/>
    <w:rsid w:val="00471EF7"/>
    <w:rsid w:val="00471FAE"/>
    <w:rsid w:val="00472252"/>
    <w:rsid w:val="004722A7"/>
    <w:rsid w:val="004722DA"/>
    <w:rsid w:val="00472413"/>
    <w:rsid w:val="0047256A"/>
    <w:rsid w:val="00472824"/>
    <w:rsid w:val="00472859"/>
    <w:rsid w:val="004728C0"/>
    <w:rsid w:val="004729FE"/>
    <w:rsid w:val="00472A12"/>
    <w:rsid w:val="00472AC6"/>
    <w:rsid w:val="00472ACB"/>
    <w:rsid w:val="00472BBF"/>
    <w:rsid w:val="00472C02"/>
    <w:rsid w:val="00472C59"/>
    <w:rsid w:val="00472CBF"/>
    <w:rsid w:val="00472E0D"/>
    <w:rsid w:val="00473230"/>
    <w:rsid w:val="004732B9"/>
    <w:rsid w:val="0047334A"/>
    <w:rsid w:val="004734E0"/>
    <w:rsid w:val="004735D8"/>
    <w:rsid w:val="004736B7"/>
    <w:rsid w:val="00473729"/>
    <w:rsid w:val="004737FF"/>
    <w:rsid w:val="00473830"/>
    <w:rsid w:val="00473865"/>
    <w:rsid w:val="0047393B"/>
    <w:rsid w:val="00473AB9"/>
    <w:rsid w:val="00473AE6"/>
    <w:rsid w:val="00473C07"/>
    <w:rsid w:val="00473E36"/>
    <w:rsid w:val="00473E95"/>
    <w:rsid w:val="00473F2F"/>
    <w:rsid w:val="00473FBE"/>
    <w:rsid w:val="0047403E"/>
    <w:rsid w:val="004740C4"/>
    <w:rsid w:val="004741DF"/>
    <w:rsid w:val="00474341"/>
    <w:rsid w:val="004743F9"/>
    <w:rsid w:val="0047440B"/>
    <w:rsid w:val="004744BA"/>
    <w:rsid w:val="004746E6"/>
    <w:rsid w:val="004746F4"/>
    <w:rsid w:val="00474736"/>
    <w:rsid w:val="004748C3"/>
    <w:rsid w:val="00474AB1"/>
    <w:rsid w:val="00474B8A"/>
    <w:rsid w:val="00474BD7"/>
    <w:rsid w:val="00474C24"/>
    <w:rsid w:val="00474E4A"/>
    <w:rsid w:val="00474FB6"/>
    <w:rsid w:val="00474FF5"/>
    <w:rsid w:val="00474FF6"/>
    <w:rsid w:val="00475085"/>
    <w:rsid w:val="0047518B"/>
    <w:rsid w:val="004752A2"/>
    <w:rsid w:val="004753B1"/>
    <w:rsid w:val="004757C1"/>
    <w:rsid w:val="0047581D"/>
    <w:rsid w:val="0047586A"/>
    <w:rsid w:val="00475A44"/>
    <w:rsid w:val="00475A84"/>
    <w:rsid w:val="00475AA3"/>
    <w:rsid w:val="00475B15"/>
    <w:rsid w:val="00475C93"/>
    <w:rsid w:val="00475D2C"/>
    <w:rsid w:val="00475DB5"/>
    <w:rsid w:val="00475F2B"/>
    <w:rsid w:val="00475FA6"/>
    <w:rsid w:val="00476012"/>
    <w:rsid w:val="004760D6"/>
    <w:rsid w:val="0047614D"/>
    <w:rsid w:val="004761DF"/>
    <w:rsid w:val="00476219"/>
    <w:rsid w:val="004763AF"/>
    <w:rsid w:val="00476432"/>
    <w:rsid w:val="00476509"/>
    <w:rsid w:val="00476588"/>
    <w:rsid w:val="00476629"/>
    <w:rsid w:val="0047664D"/>
    <w:rsid w:val="004766FE"/>
    <w:rsid w:val="00476718"/>
    <w:rsid w:val="00476881"/>
    <w:rsid w:val="0047692B"/>
    <w:rsid w:val="00476AB4"/>
    <w:rsid w:val="00476B11"/>
    <w:rsid w:val="00476CB8"/>
    <w:rsid w:val="00476CF6"/>
    <w:rsid w:val="00476D3F"/>
    <w:rsid w:val="00477019"/>
    <w:rsid w:val="004770C8"/>
    <w:rsid w:val="00477155"/>
    <w:rsid w:val="00477347"/>
    <w:rsid w:val="004773FA"/>
    <w:rsid w:val="00477533"/>
    <w:rsid w:val="004775FC"/>
    <w:rsid w:val="0047764F"/>
    <w:rsid w:val="004776BA"/>
    <w:rsid w:val="00477763"/>
    <w:rsid w:val="004777A1"/>
    <w:rsid w:val="0047791E"/>
    <w:rsid w:val="00477969"/>
    <w:rsid w:val="00477A9C"/>
    <w:rsid w:val="00477AA8"/>
    <w:rsid w:val="00477C06"/>
    <w:rsid w:val="00477E25"/>
    <w:rsid w:val="00480076"/>
    <w:rsid w:val="0048009A"/>
    <w:rsid w:val="00480332"/>
    <w:rsid w:val="004804F5"/>
    <w:rsid w:val="004807E0"/>
    <w:rsid w:val="004807EA"/>
    <w:rsid w:val="004808CA"/>
    <w:rsid w:val="004808FF"/>
    <w:rsid w:val="00480963"/>
    <w:rsid w:val="0048099F"/>
    <w:rsid w:val="00480A05"/>
    <w:rsid w:val="00480AF5"/>
    <w:rsid w:val="00480BA7"/>
    <w:rsid w:val="00480C71"/>
    <w:rsid w:val="00480CB1"/>
    <w:rsid w:val="00480F79"/>
    <w:rsid w:val="00480FF3"/>
    <w:rsid w:val="00481010"/>
    <w:rsid w:val="00481059"/>
    <w:rsid w:val="00481108"/>
    <w:rsid w:val="00481174"/>
    <w:rsid w:val="00481176"/>
    <w:rsid w:val="0048118A"/>
    <w:rsid w:val="0048119F"/>
    <w:rsid w:val="004813C8"/>
    <w:rsid w:val="004814FF"/>
    <w:rsid w:val="0048153B"/>
    <w:rsid w:val="004815EA"/>
    <w:rsid w:val="0048160A"/>
    <w:rsid w:val="00481619"/>
    <w:rsid w:val="0048161C"/>
    <w:rsid w:val="004816EF"/>
    <w:rsid w:val="0048175D"/>
    <w:rsid w:val="004818B9"/>
    <w:rsid w:val="00481A19"/>
    <w:rsid w:val="00481AA9"/>
    <w:rsid w:val="00481C06"/>
    <w:rsid w:val="00481CA5"/>
    <w:rsid w:val="00481DDD"/>
    <w:rsid w:val="00481FE1"/>
    <w:rsid w:val="0048211B"/>
    <w:rsid w:val="0048221B"/>
    <w:rsid w:val="00482266"/>
    <w:rsid w:val="004823A2"/>
    <w:rsid w:val="0048244A"/>
    <w:rsid w:val="00482517"/>
    <w:rsid w:val="00482728"/>
    <w:rsid w:val="00482AB6"/>
    <w:rsid w:val="00482C40"/>
    <w:rsid w:val="00482D42"/>
    <w:rsid w:val="00482D60"/>
    <w:rsid w:val="00482DD5"/>
    <w:rsid w:val="00483129"/>
    <w:rsid w:val="00483581"/>
    <w:rsid w:val="00483618"/>
    <w:rsid w:val="004836BF"/>
    <w:rsid w:val="004838E5"/>
    <w:rsid w:val="00483A7B"/>
    <w:rsid w:val="00483BB9"/>
    <w:rsid w:val="00483BCC"/>
    <w:rsid w:val="00483C23"/>
    <w:rsid w:val="00483C55"/>
    <w:rsid w:val="00483C58"/>
    <w:rsid w:val="00483C8E"/>
    <w:rsid w:val="00483DA0"/>
    <w:rsid w:val="00483E40"/>
    <w:rsid w:val="004840CD"/>
    <w:rsid w:val="0048414B"/>
    <w:rsid w:val="0048424B"/>
    <w:rsid w:val="00484257"/>
    <w:rsid w:val="00484330"/>
    <w:rsid w:val="004843D6"/>
    <w:rsid w:val="0048453E"/>
    <w:rsid w:val="004849A4"/>
    <w:rsid w:val="00484A51"/>
    <w:rsid w:val="00484ACB"/>
    <w:rsid w:val="00484BAF"/>
    <w:rsid w:val="00484CF9"/>
    <w:rsid w:val="00484D42"/>
    <w:rsid w:val="00484DD0"/>
    <w:rsid w:val="00484DDA"/>
    <w:rsid w:val="00484F32"/>
    <w:rsid w:val="00484FF1"/>
    <w:rsid w:val="00485085"/>
    <w:rsid w:val="00485147"/>
    <w:rsid w:val="0048525C"/>
    <w:rsid w:val="004852D3"/>
    <w:rsid w:val="00485306"/>
    <w:rsid w:val="00485350"/>
    <w:rsid w:val="004853C8"/>
    <w:rsid w:val="004853FA"/>
    <w:rsid w:val="004854F6"/>
    <w:rsid w:val="0048554F"/>
    <w:rsid w:val="004855F3"/>
    <w:rsid w:val="0048571C"/>
    <w:rsid w:val="00485951"/>
    <w:rsid w:val="00485A7A"/>
    <w:rsid w:val="00485AF7"/>
    <w:rsid w:val="00485DA3"/>
    <w:rsid w:val="00485E69"/>
    <w:rsid w:val="00485EE1"/>
    <w:rsid w:val="00486016"/>
    <w:rsid w:val="0048608F"/>
    <w:rsid w:val="00486159"/>
    <w:rsid w:val="00486166"/>
    <w:rsid w:val="00486252"/>
    <w:rsid w:val="0048642A"/>
    <w:rsid w:val="004865F6"/>
    <w:rsid w:val="00486652"/>
    <w:rsid w:val="004868B7"/>
    <w:rsid w:val="00486951"/>
    <w:rsid w:val="00486B47"/>
    <w:rsid w:val="00486B99"/>
    <w:rsid w:val="00486BD9"/>
    <w:rsid w:val="00486DE5"/>
    <w:rsid w:val="00486E3E"/>
    <w:rsid w:val="00486FFC"/>
    <w:rsid w:val="004872BD"/>
    <w:rsid w:val="004872DE"/>
    <w:rsid w:val="00487450"/>
    <w:rsid w:val="00487470"/>
    <w:rsid w:val="00487524"/>
    <w:rsid w:val="004875DB"/>
    <w:rsid w:val="00487699"/>
    <w:rsid w:val="0048769B"/>
    <w:rsid w:val="00487809"/>
    <w:rsid w:val="00487A8A"/>
    <w:rsid w:val="00487AE5"/>
    <w:rsid w:val="00487D01"/>
    <w:rsid w:val="00487D75"/>
    <w:rsid w:val="00487E8F"/>
    <w:rsid w:val="00487EC3"/>
    <w:rsid w:val="00490000"/>
    <w:rsid w:val="004901EF"/>
    <w:rsid w:val="00490278"/>
    <w:rsid w:val="00490307"/>
    <w:rsid w:val="004903AF"/>
    <w:rsid w:val="0049044D"/>
    <w:rsid w:val="00490485"/>
    <w:rsid w:val="00490689"/>
    <w:rsid w:val="00490A17"/>
    <w:rsid w:val="00490A3A"/>
    <w:rsid w:val="00490AD8"/>
    <w:rsid w:val="00490B11"/>
    <w:rsid w:val="00490B32"/>
    <w:rsid w:val="00490D37"/>
    <w:rsid w:val="00490E09"/>
    <w:rsid w:val="00490E94"/>
    <w:rsid w:val="00491018"/>
    <w:rsid w:val="0049112B"/>
    <w:rsid w:val="004914B9"/>
    <w:rsid w:val="004914C5"/>
    <w:rsid w:val="0049152F"/>
    <w:rsid w:val="004916C4"/>
    <w:rsid w:val="004917CE"/>
    <w:rsid w:val="00491908"/>
    <w:rsid w:val="00491C83"/>
    <w:rsid w:val="00491E53"/>
    <w:rsid w:val="00491F55"/>
    <w:rsid w:val="0049200D"/>
    <w:rsid w:val="0049229C"/>
    <w:rsid w:val="0049259A"/>
    <w:rsid w:val="00492666"/>
    <w:rsid w:val="00492675"/>
    <w:rsid w:val="0049277F"/>
    <w:rsid w:val="00492B42"/>
    <w:rsid w:val="00492F5C"/>
    <w:rsid w:val="00492FCB"/>
    <w:rsid w:val="00493174"/>
    <w:rsid w:val="0049323A"/>
    <w:rsid w:val="00493293"/>
    <w:rsid w:val="004932EF"/>
    <w:rsid w:val="00493353"/>
    <w:rsid w:val="0049336C"/>
    <w:rsid w:val="004933F7"/>
    <w:rsid w:val="00493420"/>
    <w:rsid w:val="0049351E"/>
    <w:rsid w:val="004935B2"/>
    <w:rsid w:val="004936E3"/>
    <w:rsid w:val="00493743"/>
    <w:rsid w:val="004939B7"/>
    <w:rsid w:val="00493B44"/>
    <w:rsid w:val="00493B57"/>
    <w:rsid w:val="00493C25"/>
    <w:rsid w:val="00493C4F"/>
    <w:rsid w:val="00493D04"/>
    <w:rsid w:val="00493D1A"/>
    <w:rsid w:val="00493DA4"/>
    <w:rsid w:val="00493DF1"/>
    <w:rsid w:val="0049426E"/>
    <w:rsid w:val="004942BA"/>
    <w:rsid w:val="004942BE"/>
    <w:rsid w:val="00494340"/>
    <w:rsid w:val="004943A8"/>
    <w:rsid w:val="00494474"/>
    <w:rsid w:val="004944B3"/>
    <w:rsid w:val="00494545"/>
    <w:rsid w:val="00494547"/>
    <w:rsid w:val="00494609"/>
    <w:rsid w:val="004946B6"/>
    <w:rsid w:val="00494713"/>
    <w:rsid w:val="004947B2"/>
    <w:rsid w:val="0049481E"/>
    <w:rsid w:val="0049492D"/>
    <w:rsid w:val="00494A07"/>
    <w:rsid w:val="00494B10"/>
    <w:rsid w:val="00494BC3"/>
    <w:rsid w:val="00494BDF"/>
    <w:rsid w:val="00494C42"/>
    <w:rsid w:val="00494ED8"/>
    <w:rsid w:val="00494F20"/>
    <w:rsid w:val="00494F6D"/>
    <w:rsid w:val="004950DD"/>
    <w:rsid w:val="00495107"/>
    <w:rsid w:val="0049511F"/>
    <w:rsid w:val="0049519D"/>
    <w:rsid w:val="00495235"/>
    <w:rsid w:val="00495356"/>
    <w:rsid w:val="00495368"/>
    <w:rsid w:val="004953F4"/>
    <w:rsid w:val="004953F6"/>
    <w:rsid w:val="004953F7"/>
    <w:rsid w:val="0049551E"/>
    <w:rsid w:val="004957BA"/>
    <w:rsid w:val="004957F0"/>
    <w:rsid w:val="0049580B"/>
    <w:rsid w:val="0049589A"/>
    <w:rsid w:val="00495AD2"/>
    <w:rsid w:val="00495B42"/>
    <w:rsid w:val="00495D10"/>
    <w:rsid w:val="00495DCC"/>
    <w:rsid w:val="00495ED0"/>
    <w:rsid w:val="00495F4D"/>
    <w:rsid w:val="004960C7"/>
    <w:rsid w:val="00496312"/>
    <w:rsid w:val="00496464"/>
    <w:rsid w:val="0049648A"/>
    <w:rsid w:val="00496574"/>
    <w:rsid w:val="00496871"/>
    <w:rsid w:val="00496897"/>
    <w:rsid w:val="004969B8"/>
    <w:rsid w:val="004969C4"/>
    <w:rsid w:val="00496A9C"/>
    <w:rsid w:val="00496AF5"/>
    <w:rsid w:val="00496C55"/>
    <w:rsid w:val="00496CEC"/>
    <w:rsid w:val="00496D69"/>
    <w:rsid w:val="00496EAB"/>
    <w:rsid w:val="00496F28"/>
    <w:rsid w:val="00496F62"/>
    <w:rsid w:val="00496F74"/>
    <w:rsid w:val="00496FC1"/>
    <w:rsid w:val="00497026"/>
    <w:rsid w:val="00497043"/>
    <w:rsid w:val="004970E7"/>
    <w:rsid w:val="00497363"/>
    <w:rsid w:val="00497514"/>
    <w:rsid w:val="0049757A"/>
    <w:rsid w:val="004976D8"/>
    <w:rsid w:val="00497811"/>
    <w:rsid w:val="004978FA"/>
    <w:rsid w:val="00497A44"/>
    <w:rsid w:val="00497A5C"/>
    <w:rsid w:val="00497BEB"/>
    <w:rsid w:val="00497C71"/>
    <w:rsid w:val="00497E36"/>
    <w:rsid w:val="00497F63"/>
    <w:rsid w:val="004A0041"/>
    <w:rsid w:val="004A008C"/>
    <w:rsid w:val="004A0135"/>
    <w:rsid w:val="004A0218"/>
    <w:rsid w:val="004A0270"/>
    <w:rsid w:val="004A0301"/>
    <w:rsid w:val="004A033B"/>
    <w:rsid w:val="004A03B3"/>
    <w:rsid w:val="004A0439"/>
    <w:rsid w:val="004A0468"/>
    <w:rsid w:val="004A046F"/>
    <w:rsid w:val="004A08EC"/>
    <w:rsid w:val="004A0952"/>
    <w:rsid w:val="004A09A3"/>
    <w:rsid w:val="004A0C77"/>
    <w:rsid w:val="004A0CAA"/>
    <w:rsid w:val="004A0E14"/>
    <w:rsid w:val="004A0EBA"/>
    <w:rsid w:val="004A0F11"/>
    <w:rsid w:val="004A0F1E"/>
    <w:rsid w:val="004A0F21"/>
    <w:rsid w:val="004A0FF4"/>
    <w:rsid w:val="004A1133"/>
    <w:rsid w:val="004A126A"/>
    <w:rsid w:val="004A1303"/>
    <w:rsid w:val="004A1484"/>
    <w:rsid w:val="004A14B8"/>
    <w:rsid w:val="004A18BF"/>
    <w:rsid w:val="004A1992"/>
    <w:rsid w:val="004A19A6"/>
    <w:rsid w:val="004A2022"/>
    <w:rsid w:val="004A20C7"/>
    <w:rsid w:val="004A2135"/>
    <w:rsid w:val="004A214D"/>
    <w:rsid w:val="004A22C9"/>
    <w:rsid w:val="004A2745"/>
    <w:rsid w:val="004A27EB"/>
    <w:rsid w:val="004A281A"/>
    <w:rsid w:val="004A2858"/>
    <w:rsid w:val="004A2895"/>
    <w:rsid w:val="004A28A1"/>
    <w:rsid w:val="004A28EE"/>
    <w:rsid w:val="004A2967"/>
    <w:rsid w:val="004A2997"/>
    <w:rsid w:val="004A2AA3"/>
    <w:rsid w:val="004A2B42"/>
    <w:rsid w:val="004A2B75"/>
    <w:rsid w:val="004A2BE0"/>
    <w:rsid w:val="004A2DA2"/>
    <w:rsid w:val="004A2E1C"/>
    <w:rsid w:val="004A2F77"/>
    <w:rsid w:val="004A3285"/>
    <w:rsid w:val="004A36DB"/>
    <w:rsid w:val="004A3801"/>
    <w:rsid w:val="004A391F"/>
    <w:rsid w:val="004A3B13"/>
    <w:rsid w:val="004A3E83"/>
    <w:rsid w:val="004A3E90"/>
    <w:rsid w:val="004A3EAA"/>
    <w:rsid w:val="004A3ED9"/>
    <w:rsid w:val="004A3F2E"/>
    <w:rsid w:val="004A3F69"/>
    <w:rsid w:val="004A40AD"/>
    <w:rsid w:val="004A40DB"/>
    <w:rsid w:val="004A41C8"/>
    <w:rsid w:val="004A43A5"/>
    <w:rsid w:val="004A43CE"/>
    <w:rsid w:val="004A4439"/>
    <w:rsid w:val="004A4497"/>
    <w:rsid w:val="004A455D"/>
    <w:rsid w:val="004A4650"/>
    <w:rsid w:val="004A48A5"/>
    <w:rsid w:val="004A4961"/>
    <w:rsid w:val="004A4A02"/>
    <w:rsid w:val="004A4B13"/>
    <w:rsid w:val="004A4B31"/>
    <w:rsid w:val="004A4D46"/>
    <w:rsid w:val="004A4D53"/>
    <w:rsid w:val="004A4DF7"/>
    <w:rsid w:val="004A4E54"/>
    <w:rsid w:val="004A4F2E"/>
    <w:rsid w:val="004A4F94"/>
    <w:rsid w:val="004A50E3"/>
    <w:rsid w:val="004A5368"/>
    <w:rsid w:val="004A5534"/>
    <w:rsid w:val="004A5630"/>
    <w:rsid w:val="004A565D"/>
    <w:rsid w:val="004A56C4"/>
    <w:rsid w:val="004A57E9"/>
    <w:rsid w:val="004A58FE"/>
    <w:rsid w:val="004A5922"/>
    <w:rsid w:val="004A5A08"/>
    <w:rsid w:val="004A5B5F"/>
    <w:rsid w:val="004A5B6B"/>
    <w:rsid w:val="004A5CBB"/>
    <w:rsid w:val="004A5E50"/>
    <w:rsid w:val="004A5F1E"/>
    <w:rsid w:val="004A5FA7"/>
    <w:rsid w:val="004A5FFE"/>
    <w:rsid w:val="004A620D"/>
    <w:rsid w:val="004A623D"/>
    <w:rsid w:val="004A6348"/>
    <w:rsid w:val="004A648C"/>
    <w:rsid w:val="004A652C"/>
    <w:rsid w:val="004A6744"/>
    <w:rsid w:val="004A6853"/>
    <w:rsid w:val="004A68EC"/>
    <w:rsid w:val="004A68F6"/>
    <w:rsid w:val="004A6A63"/>
    <w:rsid w:val="004A6CE1"/>
    <w:rsid w:val="004A6DE3"/>
    <w:rsid w:val="004A6E3E"/>
    <w:rsid w:val="004A6EBF"/>
    <w:rsid w:val="004A6F66"/>
    <w:rsid w:val="004A71F4"/>
    <w:rsid w:val="004A728C"/>
    <w:rsid w:val="004A746A"/>
    <w:rsid w:val="004A74DB"/>
    <w:rsid w:val="004A7512"/>
    <w:rsid w:val="004A7513"/>
    <w:rsid w:val="004A75E2"/>
    <w:rsid w:val="004A7810"/>
    <w:rsid w:val="004A7889"/>
    <w:rsid w:val="004A7943"/>
    <w:rsid w:val="004A7960"/>
    <w:rsid w:val="004A7ABC"/>
    <w:rsid w:val="004A7C38"/>
    <w:rsid w:val="004A7D5A"/>
    <w:rsid w:val="004A7D97"/>
    <w:rsid w:val="004A7FEE"/>
    <w:rsid w:val="004B0020"/>
    <w:rsid w:val="004B0195"/>
    <w:rsid w:val="004B01BE"/>
    <w:rsid w:val="004B02BC"/>
    <w:rsid w:val="004B02C5"/>
    <w:rsid w:val="004B0345"/>
    <w:rsid w:val="004B04BB"/>
    <w:rsid w:val="004B0571"/>
    <w:rsid w:val="004B0878"/>
    <w:rsid w:val="004B0978"/>
    <w:rsid w:val="004B09DF"/>
    <w:rsid w:val="004B0A33"/>
    <w:rsid w:val="004B0AE3"/>
    <w:rsid w:val="004B0C85"/>
    <w:rsid w:val="004B0CD1"/>
    <w:rsid w:val="004B0F4D"/>
    <w:rsid w:val="004B118E"/>
    <w:rsid w:val="004B120D"/>
    <w:rsid w:val="004B1287"/>
    <w:rsid w:val="004B1293"/>
    <w:rsid w:val="004B1475"/>
    <w:rsid w:val="004B1485"/>
    <w:rsid w:val="004B14BB"/>
    <w:rsid w:val="004B14BD"/>
    <w:rsid w:val="004B162E"/>
    <w:rsid w:val="004B1726"/>
    <w:rsid w:val="004B18A7"/>
    <w:rsid w:val="004B19B1"/>
    <w:rsid w:val="004B1A4F"/>
    <w:rsid w:val="004B1B7B"/>
    <w:rsid w:val="004B1CC0"/>
    <w:rsid w:val="004B1F44"/>
    <w:rsid w:val="004B215D"/>
    <w:rsid w:val="004B2199"/>
    <w:rsid w:val="004B219E"/>
    <w:rsid w:val="004B2235"/>
    <w:rsid w:val="004B224C"/>
    <w:rsid w:val="004B22FF"/>
    <w:rsid w:val="004B2322"/>
    <w:rsid w:val="004B2369"/>
    <w:rsid w:val="004B238A"/>
    <w:rsid w:val="004B246D"/>
    <w:rsid w:val="004B24CA"/>
    <w:rsid w:val="004B2508"/>
    <w:rsid w:val="004B254C"/>
    <w:rsid w:val="004B267A"/>
    <w:rsid w:val="004B26C2"/>
    <w:rsid w:val="004B2711"/>
    <w:rsid w:val="004B2925"/>
    <w:rsid w:val="004B2ADC"/>
    <w:rsid w:val="004B2B40"/>
    <w:rsid w:val="004B2CCC"/>
    <w:rsid w:val="004B2CED"/>
    <w:rsid w:val="004B2F5F"/>
    <w:rsid w:val="004B2FA8"/>
    <w:rsid w:val="004B306C"/>
    <w:rsid w:val="004B3075"/>
    <w:rsid w:val="004B31B3"/>
    <w:rsid w:val="004B3231"/>
    <w:rsid w:val="004B3339"/>
    <w:rsid w:val="004B3404"/>
    <w:rsid w:val="004B34C3"/>
    <w:rsid w:val="004B35DC"/>
    <w:rsid w:val="004B37C9"/>
    <w:rsid w:val="004B37E3"/>
    <w:rsid w:val="004B3895"/>
    <w:rsid w:val="004B38C4"/>
    <w:rsid w:val="004B3903"/>
    <w:rsid w:val="004B3969"/>
    <w:rsid w:val="004B39FB"/>
    <w:rsid w:val="004B3A8D"/>
    <w:rsid w:val="004B3AAE"/>
    <w:rsid w:val="004B3B1A"/>
    <w:rsid w:val="004B3BA8"/>
    <w:rsid w:val="004B3BCD"/>
    <w:rsid w:val="004B3D53"/>
    <w:rsid w:val="004B3F05"/>
    <w:rsid w:val="004B3F31"/>
    <w:rsid w:val="004B3F5C"/>
    <w:rsid w:val="004B402B"/>
    <w:rsid w:val="004B41E3"/>
    <w:rsid w:val="004B427C"/>
    <w:rsid w:val="004B4349"/>
    <w:rsid w:val="004B439F"/>
    <w:rsid w:val="004B43E2"/>
    <w:rsid w:val="004B43EE"/>
    <w:rsid w:val="004B4407"/>
    <w:rsid w:val="004B44A5"/>
    <w:rsid w:val="004B45DE"/>
    <w:rsid w:val="004B46BB"/>
    <w:rsid w:val="004B46E3"/>
    <w:rsid w:val="004B46F6"/>
    <w:rsid w:val="004B4759"/>
    <w:rsid w:val="004B47D6"/>
    <w:rsid w:val="004B4A0F"/>
    <w:rsid w:val="004B4A28"/>
    <w:rsid w:val="004B4A93"/>
    <w:rsid w:val="004B4B4B"/>
    <w:rsid w:val="004B4D01"/>
    <w:rsid w:val="004B4D2A"/>
    <w:rsid w:val="004B4DC5"/>
    <w:rsid w:val="004B5133"/>
    <w:rsid w:val="004B533D"/>
    <w:rsid w:val="004B562C"/>
    <w:rsid w:val="004B5649"/>
    <w:rsid w:val="004B58C0"/>
    <w:rsid w:val="004B5965"/>
    <w:rsid w:val="004B59B3"/>
    <w:rsid w:val="004B5CC3"/>
    <w:rsid w:val="004B5CF0"/>
    <w:rsid w:val="004B5FE5"/>
    <w:rsid w:val="004B600D"/>
    <w:rsid w:val="004B619F"/>
    <w:rsid w:val="004B629C"/>
    <w:rsid w:val="004B62DD"/>
    <w:rsid w:val="004B65B5"/>
    <w:rsid w:val="004B6766"/>
    <w:rsid w:val="004B68CE"/>
    <w:rsid w:val="004B6B3C"/>
    <w:rsid w:val="004B6B83"/>
    <w:rsid w:val="004B6BDB"/>
    <w:rsid w:val="004B6C17"/>
    <w:rsid w:val="004B6C44"/>
    <w:rsid w:val="004B6C61"/>
    <w:rsid w:val="004B6D1F"/>
    <w:rsid w:val="004B6DEF"/>
    <w:rsid w:val="004B6DFE"/>
    <w:rsid w:val="004B6F38"/>
    <w:rsid w:val="004B6FFB"/>
    <w:rsid w:val="004B7008"/>
    <w:rsid w:val="004B7079"/>
    <w:rsid w:val="004B711C"/>
    <w:rsid w:val="004B714D"/>
    <w:rsid w:val="004B7163"/>
    <w:rsid w:val="004B7223"/>
    <w:rsid w:val="004B72E7"/>
    <w:rsid w:val="004B74DE"/>
    <w:rsid w:val="004B7672"/>
    <w:rsid w:val="004B7778"/>
    <w:rsid w:val="004B781B"/>
    <w:rsid w:val="004B7878"/>
    <w:rsid w:val="004B7947"/>
    <w:rsid w:val="004B79DB"/>
    <w:rsid w:val="004B7ABD"/>
    <w:rsid w:val="004B7D10"/>
    <w:rsid w:val="004B7D44"/>
    <w:rsid w:val="004B7E9B"/>
    <w:rsid w:val="004C000A"/>
    <w:rsid w:val="004C04FA"/>
    <w:rsid w:val="004C0779"/>
    <w:rsid w:val="004C07E1"/>
    <w:rsid w:val="004C08A4"/>
    <w:rsid w:val="004C08F9"/>
    <w:rsid w:val="004C09B3"/>
    <w:rsid w:val="004C0BBA"/>
    <w:rsid w:val="004C0CA1"/>
    <w:rsid w:val="004C0CC6"/>
    <w:rsid w:val="004C0D0A"/>
    <w:rsid w:val="004C0D74"/>
    <w:rsid w:val="004C0F16"/>
    <w:rsid w:val="004C11E6"/>
    <w:rsid w:val="004C1357"/>
    <w:rsid w:val="004C13F2"/>
    <w:rsid w:val="004C141F"/>
    <w:rsid w:val="004C155B"/>
    <w:rsid w:val="004C1636"/>
    <w:rsid w:val="004C16DC"/>
    <w:rsid w:val="004C188F"/>
    <w:rsid w:val="004C1919"/>
    <w:rsid w:val="004C1B69"/>
    <w:rsid w:val="004C1C11"/>
    <w:rsid w:val="004C1EC9"/>
    <w:rsid w:val="004C1EDB"/>
    <w:rsid w:val="004C1EE5"/>
    <w:rsid w:val="004C1FEA"/>
    <w:rsid w:val="004C1FFF"/>
    <w:rsid w:val="004C22B1"/>
    <w:rsid w:val="004C2384"/>
    <w:rsid w:val="004C24CC"/>
    <w:rsid w:val="004C2579"/>
    <w:rsid w:val="004C28B9"/>
    <w:rsid w:val="004C28D4"/>
    <w:rsid w:val="004C2902"/>
    <w:rsid w:val="004C2A33"/>
    <w:rsid w:val="004C2B64"/>
    <w:rsid w:val="004C2BCA"/>
    <w:rsid w:val="004C2D2B"/>
    <w:rsid w:val="004C2DE3"/>
    <w:rsid w:val="004C2E8A"/>
    <w:rsid w:val="004C2FDC"/>
    <w:rsid w:val="004C3090"/>
    <w:rsid w:val="004C3517"/>
    <w:rsid w:val="004C38DF"/>
    <w:rsid w:val="004C3952"/>
    <w:rsid w:val="004C3998"/>
    <w:rsid w:val="004C3B51"/>
    <w:rsid w:val="004C3B5E"/>
    <w:rsid w:val="004C3FC1"/>
    <w:rsid w:val="004C4061"/>
    <w:rsid w:val="004C40CE"/>
    <w:rsid w:val="004C40D1"/>
    <w:rsid w:val="004C4150"/>
    <w:rsid w:val="004C41B6"/>
    <w:rsid w:val="004C42B0"/>
    <w:rsid w:val="004C4337"/>
    <w:rsid w:val="004C44EE"/>
    <w:rsid w:val="004C466F"/>
    <w:rsid w:val="004C469D"/>
    <w:rsid w:val="004C476A"/>
    <w:rsid w:val="004C4868"/>
    <w:rsid w:val="004C4982"/>
    <w:rsid w:val="004C4A0D"/>
    <w:rsid w:val="004C4A23"/>
    <w:rsid w:val="004C4AD8"/>
    <w:rsid w:val="004C4C9C"/>
    <w:rsid w:val="004C4CA9"/>
    <w:rsid w:val="004C4E6F"/>
    <w:rsid w:val="004C4FC3"/>
    <w:rsid w:val="004C5062"/>
    <w:rsid w:val="004C5064"/>
    <w:rsid w:val="004C5129"/>
    <w:rsid w:val="004C51C8"/>
    <w:rsid w:val="004C5210"/>
    <w:rsid w:val="004C523A"/>
    <w:rsid w:val="004C534F"/>
    <w:rsid w:val="004C54B1"/>
    <w:rsid w:val="004C5607"/>
    <w:rsid w:val="004C5624"/>
    <w:rsid w:val="004C58DA"/>
    <w:rsid w:val="004C5966"/>
    <w:rsid w:val="004C5CA4"/>
    <w:rsid w:val="004C5CC0"/>
    <w:rsid w:val="004C5CF2"/>
    <w:rsid w:val="004C5E26"/>
    <w:rsid w:val="004C5EE9"/>
    <w:rsid w:val="004C5F1C"/>
    <w:rsid w:val="004C60C5"/>
    <w:rsid w:val="004C61FF"/>
    <w:rsid w:val="004C6310"/>
    <w:rsid w:val="004C668E"/>
    <w:rsid w:val="004C671B"/>
    <w:rsid w:val="004C682E"/>
    <w:rsid w:val="004C68FA"/>
    <w:rsid w:val="004C6973"/>
    <w:rsid w:val="004C6A9E"/>
    <w:rsid w:val="004C6B74"/>
    <w:rsid w:val="004C6BFD"/>
    <w:rsid w:val="004C6CD5"/>
    <w:rsid w:val="004C6EB0"/>
    <w:rsid w:val="004C703A"/>
    <w:rsid w:val="004C70F4"/>
    <w:rsid w:val="004C715D"/>
    <w:rsid w:val="004C721E"/>
    <w:rsid w:val="004C7410"/>
    <w:rsid w:val="004C74A4"/>
    <w:rsid w:val="004C766E"/>
    <w:rsid w:val="004C78D1"/>
    <w:rsid w:val="004C7AC7"/>
    <w:rsid w:val="004C7B7D"/>
    <w:rsid w:val="004C7B85"/>
    <w:rsid w:val="004C7E46"/>
    <w:rsid w:val="004C7FA6"/>
    <w:rsid w:val="004D0010"/>
    <w:rsid w:val="004D006E"/>
    <w:rsid w:val="004D02AE"/>
    <w:rsid w:val="004D0375"/>
    <w:rsid w:val="004D0419"/>
    <w:rsid w:val="004D047A"/>
    <w:rsid w:val="004D04E7"/>
    <w:rsid w:val="004D0764"/>
    <w:rsid w:val="004D07EC"/>
    <w:rsid w:val="004D0A06"/>
    <w:rsid w:val="004D0B32"/>
    <w:rsid w:val="004D0C24"/>
    <w:rsid w:val="004D0C64"/>
    <w:rsid w:val="004D0CC1"/>
    <w:rsid w:val="004D0D4F"/>
    <w:rsid w:val="004D0DEB"/>
    <w:rsid w:val="004D0E8E"/>
    <w:rsid w:val="004D0F18"/>
    <w:rsid w:val="004D1068"/>
    <w:rsid w:val="004D114B"/>
    <w:rsid w:val="004D1159"/>
    <w:rsid w:val="004D11B8"/>
    <w:rsid w:val="004D141D"/>
    <w:rsid w:val="004D151D"/>
    <w:rsid w:val="004D1555"/>
    <w:rsid w:val="004D15B1"/>
    <w:rsid w:val="004D15B2"/>
    <w:rsid w:val="004D15E8"/>
    <w:rsid w:val="004D15EB"/>
    <w:rsid w:val="004D161C"/>
    <w:rsid w:val="004D1645"/>
    <w:rsid w:val="004D169C"/>
    <w:rsid w:val="004D16DD"/>
    <w:rsid w:val="004D172F"/>
    <w:rsid w:val="004D1900"/>
    <w:rsid w:val="004D1A2E"/>
    <w:rsid w:val="004D1B37"/>
    <w:rsid w:val="004D1C28"/>
    <w:rsid w:val="004D1D88"/>
    <w:rsid w:val="004D1DEB"/>
    <w:rsid w:val="004D1E38"/>
    <w:rsid w:val="004D1E79"/>
    <w:rsid w:val="004D1F38"/>
    <w:rsid w:val="004D209D"/>
    <w:rsid w:val="004D2266"/>
    <w:rsid w:val="004D2373"/>
    <w:rsid w:val="004D23BA"/>
    <w:rsid w:val="004D244D"/>
    <w:rsid w:val="004D2471"/>
    <w:rsid w:val="004D2622"/>
    <w:rsid w:val="004D2653"/>
    <w:rsid w:val="004D26D3"/>
    <w:rsid w:val="004D283B"/>
    <w:rsid w:val="004D2A17"/>
    <w:rsid w:val="004D2A38"/>
    <w:rsid w:val="004D2A85"/>
    <w:rsid w:val="004D2AAD"/>
    <w:rsid w:val="004D2AC1"/>
    <w:rsid w:val="004D2B5B"/>
    <w:rsid w:val="004D2BFC"/>
    <w:rsid w:val="004D2D13"/>
    <w:rsid w:val="004D2DD9"/>
    <w:rsid w:val="004D2DDC"/>
    <w:rsid w:val="004D2ECA"/>
    <w:rsid w:val="004D30F3"/>
    <w:rsid w:val="004D31B1"/>
    <w:rsid w:val="004D3212"/>
    <w:rsid w:val="004D3255"/>
    <w:rsid w:val="004D33C2"/>
    <w:rsid w:val="004D33DC"/>
    <w:rsid w:val="004D361A"/>
    <w:rsid w:val="004D369A"/>
    <w:rsid w:val="004D3766"/>
    <w:rsid w:val="004D38E6"/>
    <w:rsid w:val="004D39CE"/>
    <w:rsid w:val="004D3AAD"/>
    <w:rsid w:val="004D3AC0"/>
    <w:rsid w:val="004D3DFE"/>
    <w:rsid w:val="004D4038"/>
    <w:rsid w:val="004D40E8"/>
    <w:rsid w:val="004D4367"/>
    <w:rsid w:val="004D4416"/>
    <w:rsid w:val="004D47DA"/>
    <w:rsid w:val="004D4A03"/>
    <w:rsid w:val="004D4AF8"/>
    <w:rsid w:val="004D4B99"/>
    <w:rsid w:val="004D4BD2"/>
    <w:rsid w:val="004D4C22"/>
    <w:rsid w:val="004D4CFD"/>
    <w:rsid w:val="004D4D44"/>
    <w:rsid w:val="004D4D9E"/>
    <w:rsid w:val="004D4DB4"/>
    <w:rsid w:val="004D4E35"/>
    <w:rsid w:val="004D4E71"/>
    <w:rsid w:val="004D4F88"/>
    <w:rsid w:val="004D5001"/>
    <w:rsid w:val="004D5083"/>
    <w:rsid w:val="004D516A"/>
    <w:rsid w:val="004D517C"/>
    <w:rsid w:val="004D5196"/>
    <w:rsid w:val="004D51A0"/>
    <w:rsid w:val="004D53A6"/>
    <w:rsid w:val="004D547F"/>
    <w:rsid w:val="004D5494"/>
    <w:rsid w:val="004D5502"/>
    <w:rsid w:val="004D5630"/>
    <w:rsid w:val="004D58C9"/>
    <w:rsid w:val="004D5909"/>
    <w:rsid w:val="004D5939"/>
    <w:rsid w:val="004D595A"/>
    <w:rsid w:val="004D5B17"/>
    <w:rsid w:val="004D5E87"/>
    <w:rsid w:val="004D6016"/>
    <w:rsid w:val="004D6190"/>
    <w:rsid w:val="004D6213"/>
    <w:rsid w:val="004D62FE"/>
    <w:rsid w:val="004D6346"/>
    <w:rsid w:val="004D6377"/>
    <w:rsid w:val="004D64DC"/>
    <w:rsid w:val="004D66FF"/>
    <w:rsid w:val="004D670A"/>
    <w:rsid w:val="004D6747"/>
    <w:rsid w:val="004D6797"/>
    <w:rsid w:val="004D67FB"/>
    <w:rsid w:val="004D6898"/>
    <w:rsid w:val="004D692C"/>
    <w:rsid w:val="004D6DCD"/>
    <w:rsid w:val="004D6E37"/>
    <w:rsid w:val="004D6FE4"/>
    <w:rsid w:val="004D7070"/>
    <w:rsid w:val="004D712F"/>
    <w:rsid w:val="004D713F"/>
    <w:rsid w:val="004D71DA"/>
    <w:rsid w:val="004D7208"/>
    <w:rsid w:val="004D738D"/>
    <w:rsid w:val="004D748E"/>
    <w:rsid w:val="004D75B5"/>
    <w:rsid w:val="004D7797"/>
    <w:rsid w:val="004D78F4"/>
    <w:rsid w:val="004D798F"/>
    <w:rsid w:val="004D7BC7"/>
    <w:rsid w:val="004D7C92"/>
    <w:rsid w:val="004D7CE2"/>
    <w:rsid w:val="004D7CF4"/>
    <w:rsid w:val="004E0038"/>
    <w:rsid w:val="004E003C"/>
    <w:rsid w:val="004E00EA"/>
    <w:rsid w:val="004E01AD"/>
    <w:rsid w:val="004E0248"/>
    <w:rsid w:val="004E02AC"/>
    <w:rsid w:val="004E05F1"/>
    <w:rsid w:val="004E0615"/>
    <w:rsid w:val="004E0742"/>
    <w:rsid w:val="004E07CE"/>
    <w:rsid w:val="004E07FC"/>
    <w:rsid w:val="004E0864"/>
    <w:rsid w:val="004E094E"/>
    <w:rsid w:val="004E0AF9"/>
    <w:rsid w:val="004E0B72"/>
    <w:rsid w:val="004E0BA4"/>
    <w:rsid w:val="004E0C0D"/>
    <w:rsid w:val="004E0C9D"/>
    <w:rsid w:val="004E0E66"/>
    <w:rsid w:val="004E0F44"/>
    <w:rsid w:val="004E12B1"/>
    <w:rsid w:val="004E136B"/>
    <w:rsid w:val="004E1416"/>
    <w:rsid w:val="004E1590"/>
    <w:rsid w:val="004E15B2"/>
    <w:rsid w:val="004E1623"/>
    <w:rsid w:val="004E165A"/>
    <w:rsid w:val="004E1759"/>
    <w:rsid w:val="004E1879"/>
    <w:rsid w:val="004E1A38"/>
    <w:rsid w:val="004E1AD3"/>
    <w:rsid w:val="004E1B04"/>
    <w:rsid w:val="004E1CB7"/>
    <w:rsid w:val="004E1CD2"/>
    <w:rsid w:val="004E1DBB"/>
    <w:rsid w:val="004E1E8A"/>
    <w:rsid w:val="004E1EFC"/>
    <w:rsid w:val="004E2087"/>
    <w:rsid w:val="004E20DB"/>
    <w:rsid w:val="004E2144"/>
    <w:rsid w:val="004E2194"/>
    <w:rsid w:val="004E21DD"/>
    <w:rsid w:val="004E2249"/>
    <w:rsid w:val="004E2427"/>
    <w:rsid w:val="004E2548"/>
    <w:rsid w:val="004E25D7"/>
    <w:rsid w:val="004E260B"/>
    <w:rsid w:val="004E2646"/>
    <w:rsid w:val="004E27F2"/>
    <w:rsid w:val="004E2917"/>
    <w:rsid w:val="004E2925"/>
    <w:rsid w:val="004E293F"/>
    <w:rsid w:val="004E2B1A"/>
    <w:rsid w:val="004E2BC6"/>
    <w:rsid w:val="004E2E6D"/>
    <w:rsid w:val="004E2EE0"/>
    <w:rsid w:val="004E2F51"/>
    <w:rsid w:val="004E301A"/>
    <w:rsid w:val="004E30A8"/>
    <w:rsid w:val="004E30BF"/>
    <w:rsid w:val="004E3105"/>
    <w:rsid w:val="004E3124"/>
    <w:rsid w:val="004E333B"/>
    <w:rsid w:val="004E3561"/>
    <w:rsid w:val="004E35FF"/>
    <w:rsid w:val="004E3683"/>
    <w:rsid w:val="004E384A"/>
    <w:rsid w:val="004E3870"/>
    <w:rsid w:val="004E38CF"/>
    <w:rsid w:val="004E38DE"/>
    <w:rsid w:val="004E3975"/>
    <w:rsid w:val="004E3A62"/>
    <w:rsid w:val="004E3B97"/>
    <w:rsid w:val="004E3C4E"/>
    <w:rsid w:val="004E3D0B"/>
    <w:rsid w:val="004E3D53"/>
    <w:rsid w:val="004E3E8C"/>
    <w:rsid w:val="004E3EA9"/>
    <w:rsid w:val="004E3FB8"/>
    <w:rsid w:val="004E406B"/>
    <w:rsid w:val="004E42CF"/>
    <w:rsid w:val="004E44D6"/>
    <w:rsid w:val="004E4780"/>
    <w:rsid w:val="004E4827"/>
    <w:rsid w:val="004E4A61"/>
    <w:rsid w:val="004E4AB3"/>
    <w:rsid w:val="004E4C28"/>
    <w:rsid w:val="004E4CB8"/>
    <w:rsid w:val="004E4D1C"/>
    <w:rsid w:val="004E4D90"/>
    <w:rsid w:val="004E4E54"/>
    <w:rsid w:val="004E5350"/>
    <w:rsid w:val="004E558F"/>
    <w:rsid w:val="004E56CA"/>
    <w:rsid w:val="004E57E6"/>
    <w:rsid w:val="004E58FD"/>
    <w:rsid w:val="004E5962"/>
    <w:rsid w:val="004E5A1B"/>
    <w:rsid w:val="004E5C23"/>
    <w:rsid w:val="004E5E16"/>
    <w:rsid w:val="004E5E34"/>
    <w:rsid w:val="004E5E4A"/>
    <w:rsid w:val="004E5EB0"/>
    <w:rsid w:val="004E5ED8"/>
    <w:rsid w:val="004E6165"/>
    <w:rsid w:val="004E61E6"/>
    <w:rsid w:val="004E621D"/>
    <w:rsid w:val="004E6258"/>
    <w:rsid w:val="004E6334"/>
    <w:rsid w:val="004E6444"/>
    <w:rsid w:val="004E6619"/>
    <w:rsid w:val="004E6620"/>
    <w:rsid w:val="004E666D"/>
    <w:rsid w:val="004E672A"/>
    <w:rsid w:val="004E68B4"/>
    <w:rsid w:val="004E691F"/>
    <w:rsid w:val="004E699B"/>
    <w:rsid w:val="004E6A0D"/>
    <w:rsid w:val="004E6AAC"/>
    <w:rsid w:val="004E6AD5"/>
    <w:rsid w:val="004E6B14"/>
    <w:rsid w:val="004E6BA9"/>
    <w:rsid w:val="004E6BC1"/>
    <w:rsid w:val="004E6C05"/>
    <w:rsid w:val="004E6C6A"/>
    <w:rsid w:val="004E6CB8"/>
    <w:rsid w:val="004E6D5C"/>
    <w:rsid w:val="004E6EF7"/>
    <w:rsid w:val="004E7024"/>
    <w:rsid w:val="004E70C2"/>
    <w:rsid w:val="004E7136"/>
    <w:rsid w:val="004E71E6"/>
    <w:rsid w:val="004E7292"/>
    <w:rsid w:val="004E7380"/>
    <w:rsid w:val="004E75D3"/>
    <w:rsid w:val="004E77F2"/>
    <w:rsid w:val="004E7A95"/>
    <w:rsid w:val="004E7B09"/>
    <w:rsid w:val="004E7B5B"/>
    <w:rsid w:val="004E7B85"/>
    <w:rsid w:val="004E7CF2"/>
    <w:rsid w:val="004E7D94"/>
    <w:rsid w:val="004E7DE3"/>
    <w:rsid w:val="004E7E7C"/>
    <w:rsid w:val="004E7F97"/>
    <w:rsid w:val="004E7FFA"/>
    <w:rsid w:val="004F0370"/>
    <w:rsid w:val="004F03B2"/>
    <w:rsid w:val="004F04FE"/>
    <w:rsid w:val="004F0511"/>
    <w:rsid w:val="004F05EF"/>
    <w:rsid w:val="004F05F4"/>
    <w:rsid w:val="004F06E9"/>
    <w:rsid w:val="004F0717"/>
    <w:rsid w:val="004F092E"/>
    <w:rsid w:val="004F0970"/>
    <w:rsid w:val="004F0C4E"/>
    <w:rsid w:val="004F0C54"/>
    <w:rsid w:val="004F0CC9"/>
    <w:rsid w:val="004F0D09"/>
    <w:rsid w:val="004F0F0E"/>
    <w:rsid w:val="004F0F55"/>
    <w:rsid w:val="004F14A8"/>
    <w:rsid w:val="004F1592"/>
    <w:rsid w:val="004F15F7"/>
    <w:rsid w:val="004F1624"/>
    <w:rsid w:val="004F18A9"/>
    <w:rsid w:val="004F1991"/>
    <w:rsid w:val="004F1A8A"/>
    <w:rsid w:val="004F1B55"/>
    <w:rsid w:val="004F1B6F"/>
    <w:rsid w:val="004F1DCD"/>
    <w:rsid w:val="004F1E96"/>
    <w:rsid w:val="004F23A4"/>
    <w:rsid w:val="004F23FB"/>
    <w:rsid w:val="004F25B6"/>
    <w:rsid w:val="004F2645"/>
    <w:rsid w:val="004F2697"/>
    <w:rsid w:val="004F26A9"/>
    <w:rsid w:val="004F273D"/>
    <w:rsid w:val="004F2918"/>
    <w:rsid w:val="004F2A72"/>
    <w:rsid w:val="004F2B92"/>
    <w:rsid w:val="004F2B9F"/>
    <w:rsid w:val="004F2C51"/>
    <w:rsid w:val="004F2D0B"/>
    <w:rsid w:val="004F2D48"/>
    <w:rsid w:val="004F2F8E"/>
    <w:rsid w:val="004F31AA"/>
    <w:rsid w:val="004F3239"/>
    <w:rsid w:val="004F32C8"/>
    <w:rsid w:val="004F3380"/>
    <w:rsid w:val="004F3411"/>
    <w:rsid w:val="004F349E"/>
    <w:rsid w:val="004F34EC"/>
    <w:rsid w:val="004F3562"/>
    <w:rsid w:val="004F3597"/>
    <w:rsid w:val="004F35B0"/>
    <w:rsid w:val="004F37A7"/>
    <w:rsid w:val="004F39FE"/>
    <w:rsid w:val="004F3D88"/>
    <w:rsid w:val="004F3E47"/>
    <w:rsid w:val="004F3EAC"/>
    <w:rsid w:val="004F3FC5"/>
    <w:rsid w:val="004F400C"/>
    <w:rsid w:val="004F4048"/>
    <w:rsid w:val="004F409E"/>
    <w:rsid w:val="004F40D2"/>
    <w:rsid w:val="004F415E"/>
    <w:rsid w:val="004F427D"/>
    <w:rsid w:val="004F42EB"/>
    <w:rsid w:val="004F446C"/>
    <w:rsid w:val="004F48EC"/>
    <w:rsid w:val="004F4B1A"/>
    <w:rsid w:val="004F4B59"/>
    <w:rsid w:val="004F4B92"/>
    <w:rsid w:val="004F4B93"/>
    <w:rsid w:val="004F4BCF"/>
    <w:rsid w:val="004F4D0A"/>
    <w:rsid w:val="004F4D52"/>
    <w:rsid w:val="004F4EAA"/>
    <w:rsid w:val="004F4F45"/>
    <w:rsid w:val="004F4F96"/>
    <w:rsid w:val="004F5024"/>
    <w:rsid w:val="004F5031"/>
    <w:rsid w:val="004F50EC"/>
    <w:rsid w:val="004F51DD"/>
    <w:rsid w:val="004F533F"/>
    <w:rsid w:val="004F5375"/>
    <w:rsid w:val="004F54DB"/>
    <w:rsid w:val="004F5563"/>
    <w:rsid w:val="004F5780"/>
    <w:rsid w:val="004F57AA"/>
    <w:rsid w:val="004F57B0"/>
    <w:rsid w:val="004F5A14"/>
    <w:rsid w:val="004F5A2C"/>
    <w:rsid w:val="004F5ADE"/>
    <w:rsid w:val="004F5B08"/>
    <w:rsid w:val="004F5BBE"/>
    <w:rsid w:val="004F5C0E"/>
    <w:rsid w:val="004F5CA6"/>
    <w:rsid w:val="004F5CCE"/>
    <w:rsid w:val="004F5E23"/>
    <w:rsid w:val="004F60BE"/>
    <w:rsid w:val="004F6525"/>
    <w:rsid w:val="004F6571"/>
    <w:rsid w:val="004F65EE"/>
    <w:rsid w:val="004F6724"/>
    <w:rsid w:val="004F68AD"/>
    <w:rsid w:val="004F68D0"/>
    <w:rsid w:val="004F6998"/>
    <w:rsid w:val="004F6A9E"/>
    <w:rsid w:val="004F6B34"/>
    <w:rsid w:val="004F6CAD"/>
    <w:rsid w:val="004F6F27"/>
    <w:rsid w:val="004F7047"/>
    <w:rsid w:val="004F7076"/>
    <w:rsid w:val="004F7102"/>
    <w:rsid w:val="004F71D5"/>
    <w:rsid w:val="004F7208"/>
    <w:rsid w:val="004F7600"/>
    <w:rsid w:val="004F7699"/>
    <w:rsid w:val="004F76F1"/>
    <w:rsid w:val="004F7720"/>
    <w:rsid w:val="004F7755"/>
    <w:rsid w:val="004F779D"/>
    <w:rsid w:val="004F784F"/>
    <w:rsid w:val="004F7910"/>
    <w:rsid w:val="004F7A8C"/>
    <w:rsid w:val="004F7A9D"/>
    <w:rsid w:val="004F7C14"/>
    <w:rsid w:val="004F7C4C"/>
    <w:rsid w:val="004F7E45"/>
    <w:rsid w:val="004F7E86"/>
    <w:rsid w:val="004F7F3E"/>
    <w:rsid w:val="004F7F51"/>
    <w:rsid w:val="00500154"/>
    <w:rsid w:val="00500236"/>
    <w:rsid w:val="005003EC"/>
    <w:rsid w:val="005003ED"/>
    <w:rsid w:val="005005F3"/>
    <w:rsid w:val="00500773"/>
    <w:rsid w:val="0050077C"/>
    <w:rsid w:val="005007B3"/>
    <w:rsid w:val="0050081F"/>
    <w:rsid w:val="00500845"/>
    <w:rsid w:val="0050084E"/>
    <w:rsid w:val="00500A4A"/>
    <w:rsid w:val="00500B3C"/>
    <w:rsid w:val="00500E07"/>
    <w:rsid w:val="005010D4"/>
    <w:rsid w:val="005010FE"/>
    <w:rsid w:val="00501166"/>
    <w:rsid w:val="00501170"/>
    <w:rsid w:val="005011C1"/>
    <w:rsid w:val="005011F2"/>
    <w:rsid w:val="00501270"/>
    <w:rsid w:val="005012AA"/>
    <w:rsid w:val="0050135B"/>
    <w:rsid w:val="0050167C"/>
    <w:rsid w:val="005017CA"/>
    <w:rsid w:val="00501817"/>
    <w:rsid w:val="0050181A"/>
    <w:rsid w:val="0050191F"/>
    <w:rsid w:val="00501A64"/>
    <w:rsid w:val="00501B6C"/>
    <w:rsid w:val="00501C33"/>
    <w:rsid w:val="00501F52"/>
    <w:rsid w:val="00501F6B"/>
    <w:rsid w:val="00501F7D"/>
    <w:rsid w:val="00502211"/>
    <w:rsid w:val="005022E1"/>
    <w:rsid w:val="00502307"/>
    <w:rsid w:val="0050240A"/>
    <w:rsid w:val="00502411"/>
    <w:rsid w:val="00502492"/>
    <w:rsid w:val="005025B1"/>
    <w:rsid w:val="00502730"/>
    <w:rsid w:val="00502A2F"/>
    <w:rsid w:val="00502A31"/>
    <w:rsid w:val="00502A9D"/>
    <w:rsid w:val="00502B46"/>
    <w:rsid w:val="00502B9F"/>
    <w:rsid w:val="00502CFA"/>
    <w:rsid w:val="00502EA1"/>
    <w:rsid w:val="00502EB4"/>
    <w:rsid w:val="00502ECA"/>
    <w:rsid w:val="00502EFB"/>
    <w:rsid w:val="0050302D"/>
    <w:rsid w:val="00503086"/>
    <w:rsid w:val="0050321B"/>
    <w:rsid w:val="00503458"/>
    <w:rsid w:val="00503587"/>
    <w:rsid w:val="005035C0"/>
    <w:rsid w:val="005035C3"/>
    <w:rsid w:val="005036C0"/>
    <w:rsid w:val="005036CA"/>
    <w:rsid w:val="00503879"/>
    <w:rsid w:val="005038CB"/>
    <w:rsid w:val="00503AEE"/>
    <w:rsid w:val="00503B46"/>
    <w:rsid w:val="00503CF0"/>
    <w:rsid w:val="00503E33"/>
    <w:rsid w:val="00503EF5"/>
    <w:rsid w:val="00503F27"/>
    <w:rsid w:val="00503F5A"/>
    <w:rsid w:val="00504094"/>
    <w:rsid w:val="005040AC"/>
    <w:rsid w:val="0050411C"/>
    <w:rsid w:val="00504256"/>
    <w:rsid w:val="005042E5"/>
    <w:rsid w:val="005044B8"/>
    <w:rsid w:val="00504501"/>
    <w:rsid w:val="0050464B"/>
    <w:rsid w:val="00504699"/>
    <w:rsid w:val="00504747"/>
    <w:rsid w:val="005047AD"/>
    <w:rsid w:val="00504912"/>
    <w:rsid w:val="00504987"/>
    <w:rsid w:val="005049B0"/>
    <w:rsid w:val="005049B7"/>
    <w:rsid w:val="00504C9A"/>
    <w:rsid w:val="00504CDA"/>
    <w:rsid w:val="00504D1C"/>
    <w:rsid w:val="00504DC6"/>
    <w:rsid w:val="00504E5B"/>
    <w:rsid w:val="00504F2D"/>
    <w:rsid w:val="00504FE4"/>
    <w:rsid w:val="0050511F"/>
    <w:rsid w:val="00505148"/>
    <w:rsid w:val="00505327"/>
    <w:rsid w:val="005053C8"/>
    <w:rsid w:val="00505471"/>
    <w:rsid w:val="005054A1"/>
    <w:rsid w:val="005054B1"/>
    <w:rsid w:val="005056A2"/>
    <w:rsid w:val="00505777"/>
    <w:rsid w:val="00505A60"/>
    <w:rsid w:val="00505B42"/>
    <w:rsid w:val="00505BDC"/>
    <w:rsid w:val="00505D3E"/>
    <w:rsid w:val="00505DB8"/>
    <w:rsid w:val="00505DD5"/>
    <w:rsid w:val="00505E6A"/>
    <w:rsid w:val="00505E93"/>
    <w:rsid w:val="00505ED0"/>
    <w:rsid w:val="00505EF8"/>
    <w:rsid w:val="00506049"/>
    <w:rsid w:val="00506238"/>
    <w:rsid w:val="00506460"/>
    <w:rsid w:val="005064F3"/>
    <w:rsid w:val="00506579"/>
    <w:rsid w:val="00506610"/>
    <w:rsid w:val="0050678D"/>
    <w:rsid w:val="005067DF"/>
    <w:rsid w:val="00506874"/>
    <w:rsid w:val="00506943"/>
    <w:rsid w:val="00506984"/>
    <w:rsid w:val="00506A6E"/>
    <w:rsid w:val="00506A79"/>
    <w:rsid w:val="00506AE0"/>
    <w:rsid w:val="00506CA8"/>
    <w:rsid w:val="00506E4F"/>
    <w:rsid w:val="00506F46"/>
    <w:rsid w:val="00506F51"/>
    <w:rsid w:val="00506F81"/>
    <w:rsid w:val="00507076"/>
    <w:rsid w:val="00507099"/>
    <w:rsid w:val="00507268"/>
    <w:rsid w:val="0050730D"/>
    <w:rsid w:val="005074C0"/>
    <w:rsid w:val="0050755B"/>
    <w:rsid w:val="005075B2"/>
    <w:rsid w:val="0050766F"/>
    <w:rsid w:val="00507C18"/>
    <w:rsid w:val="00507E47"/>
    <w:rsid w:val="00507EB8"/>
    <w:rsid w:val="00507F6F"/>
    <w:rsid w:val="00507F76"/>
    <w:rsid w:val="00507F84"/>
    <w:rsid w:val="00507F95"/>
    <w:rsid w:val="00510112"/>
    <w:rsid w:val="0051012D"/>
    <w:rsid w:val="00510149"/>
    <w:rsid w:val="0051056A"/>
    <w:rsid w:val="005106D1"/>
    <w:rsid w:val="00510728"/>
    <w:rsid w:val="005109A8"/>
    <w:rsid w:val="005109B6"/>
    <w:rsid w:val="00510AEC"/>
    <w:rsid w:val="00510AEE"/>
    <w:rsid w:val="00510C21"/>
    <w:rsid w:val="00510C91"/>
    <w:rsid w:val="00510C94"/>
    <w:rsid w:val="00510D70"/>
    <w:rsid w:val="00510E20"/>
    <w:rsid w:val="00510E59"/>
    <w:rsid w:val="00511024"/>
    <w:rsid w:val="005111DD"/>
    <w:rsid w:val="005111DF"/>
    <w:rsid w:val="005112EA"/>
    <w:rsid w:val="00511318"/>
    <w:rsid w:val="0051131D"/>
    <w:rsid w:val="00511449"/>
    <w:rsid w:val="005114E0"/>
    <w:rsid w:val="00511654"/>
    <w:rsid w:val="00511A9D"/>
    <w:rsid w:val="00511AB5"/>
    <w:rsid w:val="00511B28"/>
    <w:rsid w:val="00511B3B"/>
    <w:rsid w:val="00511B9F"/>
    <w:rsid w:val="00511C0E"/>
    <w:rsid w:val="00511D35"/>
    <w:rsid w:val="00511E45"/>
    <w:rsid w:val="00511E61"/>
    <w:rsid w:val="00511EB6"/>
    <w:rsid w:val="00511F6D"/>
    <w:rsid w:val="00512019"/>
    <w:rsid w:val="00512191"/>
    <w:rsid w:val="005121BE"/>
    <w:rsid w:val="005122FF"/>
    <w:rsid w:val="0051232C"/>
    <w:rsid w:val="0051237E"/>
    <w:rsid w:val="005124B0"/>
    <w:rsid w:val="005126DE"/>
    <w:rsid w:val="005127FC"/>
    <w:rsid w:val="005129D0"/>
    <w:rsid w:val="00512A24"/>
    <w:rsid w:val="00512A82"/>
    <w:rsid w:val="00512CC9"/>
    <w:rsid w:val="00512DFA"/>
    <w:rsid w:val="00512E78"/>
    <w:rsid w:val="00512EAE"/>
    <w:rsid w:val="0051301A"/>
    <w:rsid w:val="00513061"/>
    <w:rsid w:val="00513203"/>
    <w:rsid w:val="0051323B"/>
    <w:rsid w:val="005132FD"/>
    <w:rsid w:val="0051330C"/>
    <w:rsid w:val="00513456"/>
    <w:rsid w:val="005134E6"/>
    <w:rsid w:val="0051358F"/>
    <w:rsid w:val="0051359C"/>
    <w:rsid w:val="0051368E"/>
    <w:rsid w:val="005138DC"/>
    <w:rsid w:val="005139EE"/>
    <w:rsid w:val="00513A05"/>
    <w:rsid w:val="00513BA1"/>
    <w:rsid w:val="00513BBB"/>
    <w:rsid w:val="00513C52"/>
    <w:rsid w:val="00513D83"/>
    <w:rsid w:val="00513EE9"/>
    <w:rsid w:val="00514035"/>
    <w:rsid w:val="0051404D"/>
    <w:rsid w:val="005140A4"/>
    <w:rsid w:val="00514125"/>
    <w:rsid w:val="005141B5"/>
    <w:rsid w:val="005142AF"/>
    <w:rsid w:val="005143A0"/>
    <w:rsid w:val="005144D8"/>
    <w:rsid w:val="0051459E"/>
    <w:rsid w:val="0051465B"/>
    <w:rsid w:val="0051475D"/>
    <w:rsid w:val="0051475E"/>
    <w:rsid w:val="005147B6"/>
    <w:rsid w:val="005147BB"/>
    <w:rsid w:val="00514A2F"/>
    <w:rsid w:val="00514B24"/>
    <w:rsid w:val="00514B2D"/>
    <w:rsid w:val="00514D9D"/>
    <w:rsid w:val="00514E25"/>
    <w:rsid w:val="00514F09"/>
    <w:rsid w:val="005152A0"/>
    <w:rsid w:val="0051540A"/>
    <w:rsid w:val="00515476"/>
    <w:rsid w:val="0051551B"/>
    <w:rsid w:val="005155F7"/>
    <w:rsid w:val="0051561E"/>
    <w:rsid w:val="0051564C"/>
    <w:rsid w:val="005156A9"/>
    <w:rsid w:val="00515752"/>
    <w:rsid w:val="005157E7"/>
    <w:rsid w:val="005158A4"/>
    <w:rsid w:val="00515A34"/>
    <w:rsid w:val="00515D24"/>
    <w:rsid w:val="00515DE8"/>
    <w:rsid w:val="00515EFE"/>
    <w:rsid w:val="00516052"/>
    <w:rsid w:val="005160EF"/>
    <w:rsid w:val="0051611E"/>
    <w:rsid w:val="00516123"/>
    <w:rsid w:val="00516202"/>
    <w:rsid w:val="005162D8"/>
    <w:rsid w:val="0051632B"/>
    <w:rsid w:val="00516594"/>
    <w:rsid w:val="005165A5"/>
    <w:rsid w:val="005165FC"/>
    <w:rsid w:val="00516785"/>
    <w:rsid w:val="005169B7"/>
    <w:rsid w:val="00516A16"/>
    <w:rsid w:val="00516ACE"/>
    <w:rsid w:val="00516C40"/>
    <w:rsid w:val="00516EFB"/>
    <w:rsid w:val="00517020"/>
    <w:rsid w:val="00517161"/>
    <w:rsid w:val="005171A7"/>
    <w:rsid w:val="005171CF"/>
    <w:rsid w:val="0051731E"/>
    <w:rsid w:val="005178B5"/>
    <w:rsid w:val="00517B5F"/>
    <w:rsid w:val="00517B87"/>
    <w:rsid w:val="00517BD4"/>
    <w:rsid w:val="00517C72"/>
    <w:rsid w:val="00517FA0"/>
    <w:rsid w:val="005200E8"/>
    <w:rsid w:val="00520211"/>
    <w:rsid w:val="0052028C"/>
    <w:rsid w:val="0052029A"/>
    <w:rsid w:val="00520389"/>
    <w:rsid w:val="0052045C"/>
    <w:rsid w:val="00520842"/>
    <w:rsid w:val="0052095B"/>
    <w:rsid w:val="00520BB2"/>
    <w:rsid w:val="00520D78"/>
    <w:rsid w:val="00520D9A"/>
    <w:rsid w:val="00520DD1"/>
    <w:rsid w:val="00520DDC"/>
    <w:rsid w:val="00520E2E"/>
    <w:rsid w:val="00520EA9"/>
    <w:rsid w:val="00520EB8"/>
    <w:rsid w:val="00520F4C"/>
    <w:rsid w:val="00521185"/>
    <w:rsid w:val="00521334"/>
    <w:rsid w:val="00521344"/>
    <w:rsid w:val="00521379"/>
    <w:rsid w:val="0052141A"/>
    <w:rsid w:val="005215FE"/>
    <w:rsid w:val="00521787"/>
    <w:rsid w:val="00521801"/>
    <w:rsid w:val="00521941"/>
    <w:rsid w:val="005219A1"/>
    <w:rsid w:val="00521AE8"/>
    <w:rsid w:val="00521B1A"/>
    <w:rsid w:val="00521EF0"/>
    <w:rsid w:val="00521FA8"/>
    <w:rsid w:val="00521FD8"/>
    <w:rsid w:val="00522112"/>
    <w:rsid w:val="00522357"/>
    <w:rsid w:val="00522385"/>
    <w:rsid w:val="00522520"/>
    <w:rsid w:val="00522589"/>
    <w:rsid w:val="005227EA"/>
    <w:rsid w:val="00522805"/>
    <w:rsid w:val="00522839"/>
    <w:rsid w:val="005228EE"/>
    <w:rsid w:val="00522917"/>
    <w:rsid w:val="0052291C"/>
    <w:rsid w:val="00522999"/>
    <w:rsid w:val="0052299F"/>
    <w:rsid w:val="00522A13"/>
    <w:rsid w:val="00522B21"/>
    <w:rsid w:val="00522BD5"/>
    <w:rsid w:val="00522C48"/>
    <w:rsid w:val="00522F50"/>
    <w:rsid w:val="00522FA4"/>
    <w:rsid w:val="0052303B"/>
    <w:rsid w:val="005231FA"/>
    <w:rsid w:val="005232AD"/>
    <w:rsid w:val="0052341D"/>
    <w:rsid w:val="005235CD"/>
    <w:rsid w:val="005235FF"/>
    <w:rsid w:val="0052363C"/>
    <w:rsid w:val="00523825"/>
    <w:rsid w:val="0052382E"/>
    <w:rsid w:val="00523852"/>
    <w:rsid w:val="005238FD"/>
    <w:rsid w:val="00523928"/>
    <w:rsid w:val="00523A22"/>
    <w:rsid w:val="00523B4B"/>
    <w:rsid w:val="00523B9A"/>
    <w:rsid w:val="00523C49"/>
    <w:rsid w:val="00523C4A"/>
    <w:rsid w:val="00523DC0"/>
    <w:rsid w:val="00523E58"/>
    <w:rsid w:val="00523F85"/>
    <w:rsid w:val="00523F8B"/>
    <w:rsid w:val="0052403E"/>
    <w:rsid w:val="00524157"/>
    <w:rsid w:val="0052419D"/>
    <w:rsid w:val="0052423A"/>
    <w:rsid w:val="005243AC"/>
    <w:rsid w:val="005243E0"/>
    <w:rsid w:val="00524479"/>
    <w:rsid w:val="0052459F"/>
    <w:rsid w:val="005246AA"/>
    <w:rsid w:val="0052470D"/>
    <w:rsid w:val="005247F5"/>
    <w:rsid w:val="005248C3"/>
    <w:rsid w:val="005248F2"/>
    <w:rsid w:val="00524927"/>
    <w:rsid w:val="005249EA"/>
    <w:rsid w:val="00524B6C"/>
    <w:rsid w:val="00524BE8"/>
    <w:rsid w:val="00524C1B"/>
    <w:rsid w:val="00524C4C"/>
    <w:rsid w:val="00524C6B"/>
    <w:rsid w:val="00524D0B"/>
    <w:rsid w:val="00524D15"/>
    <w:rsid w:val="00524D37"/>
    <w:rsid w:val="00524E0B"/>
    <w:rsid w:val="00524E74"/>
    <w:rsid w:val="00524F47"/>
    <w:rsid w:val="0052517D"/>
    <w:rsid w:val="00525243"/>
    <w:rsid w:val="0052531B"/>
    <w:rsid w:val="00525626"/>
    <w:rsid w:val="0052573B"/>
    <w:rsid w:val="00525864"/>
    <w:rsid w:val="00525942"/>
    <w:rsid w:val="00525AA4"/>
    <w:rsid w:val="00525E1D"/>
    <w:rsid w:val="00525F15"/>
    <w:rsid w:val="00525FBB"/>
    <w:rsid w:val="00526036"/>
    <w:rsid w:val="005261A5"/>
    <w:rsid w:val="005262DC"/>
    <w:rsid w:val="00526358"/>
    <w:rsid w:val="005263A3"/>
    <w:rsid w:val="00526455"/>
    <w:rsid w:val="0052652F"/>
    <w:rsid w:val="0052655A"/>
    <w:rsid w:val="0052666E"/>
    <w:rsid w:val="005267D2"/>
    <w:rsid w:val="00526831"/>
    <w:rsid w:val="00526910"/>
    <w:rsid w:val="00526A3B"/>
    <w:rsid w:val="00526A59"/>
    <w:rsid w:val="00526C17"/>
    <w:rsid w:val="00526DA0"/>
    <w:rsid w:val="00526E66"/>
    <w:rsid w:val="00527564"/>
    <w:rsid w:val="005275A4"/>
    <w:rsid w:val="0052769C"/>
    <w:rsid w:val="00527786"/>
    <w:rsid w:val="005277AC"/>
    <w:rsid w:val="0052797A"/>
    <w:rsid w:val="005279D4"/>
    <w:rsid w:val="00527B9F"/>
    <w:rsid w:val="0053003F"/>
    <w:rsid w:val="005301F8"/>
    <w:rsid w:val="00530374"/>
    <w:rsid w:val="00530411"/>
    <w:rsid w:val="0053044E"/>
    <w:rsid w:val="00530504"/>
    <w:rsid w:val="00530579"/>
    <w:rsid w:val="00530624"/>
    <w:rsid w:val="005307CA"/>
    <w:rsid w:val="00530834"/>
    <w:rsid w:val="005308A2"/>
    <w:rsid w:val="00530A07"/>
    <w:rsid w:val="00530AA8"/>
    <w:rsid w:val="00530D25"/>
    <w:rsid w:val="00530EDF"/>
    <w:rsid w:val="0053109A"/>
    <w:rsid w:val="005310D7"/>
    <w:rsid w:val="005312FC"/>
    <w:rsid w:val="00531326"/>
    <w:rsid w:val="005313BC"/>
    <w:rsid w:val="0053143A"/>
    <w:rsid w:val="00531571"/>
    <w:rsid w:val="0053157F"/>
    <w:rsid w:val="0053162D"/>
    <w:rsid w:val="00531803"/>
    <w:rsid w:val="00531878"/>
    <w:rsid w:val="00531996"/>
    <w:rsid w:val="00531A05"/>
    <w:rsid w:val="00531A6C"/>
    <w:rsid w:val="00531C20"/>
    <w:rsid w:val="00531CE2"/>
    <w:rsid w:val="00531D89"/>
    <w:rsid w:val="00531E3F"/>
    <w:rsid w:val="00531E70"/>
    <w:rsid w:val="00531EC1"/>
    <w:rsid w:val="0053205F"/>
    <w:rsid w:val="005320CD"/>
    <w:rsid w:val="0053222A"/>
    <w:rsid w:val="00532280"/>
    <w:rsid w:val="005322D6"/>
    <w:rsid w:val="005323CF"/>
    <w:rsid w:val="005324E2"/>
    <w:rsid w:val="005325C5"/>
    <w:rsid w:val="005325FC"/>
    <w:rsid w:val="00532640"/>
    <w:rsid w:val="005326E8"/>
    <w:rsid w:val="00532715"/>
    <w:rsid w:val="00532756"/>
    <w:rsid w:val="00532772"/>
    <w:rsid w:val="005327E4"/>
    <w:rsid w:val="00532A23"/>
    <w:rsid w:val="00532AC2"/>
    <w:rsid w:val="00532B23"/>
    <w:rsid w:val="00532B52"/>
    <w:rsid w:val="00532BF5"/>
    <w:rsid w:val="00532C6D"/>
    <w:rsid w:val="00532C8C"/>
    <w:rsid w:val="00532CDC"/>
    <w:rsid w:val="00532F03"/>
    <w:rsid w:val="005330FA"/>
    <w:rsid w:val="00533117"/>
    <w:rsid w:val="0053323F"/>
    <w:rsid w:val="005332E9"/>
    <w:rsid w:val="00533328"/>
    <w:rsid w:val="005334E0"/>
    <w:rsid w:val="0053356C"/>
    <w:rsid w:val="00533576"/>
    <w:rsid w:val="005335A8"/>
    <w:rsid w:val="005335BF"/>
    <w:rsid w:val="00533610"/>
    <w:rsid w:val="00533656"/>
    <w:rsid w:val="0053369C"/>
    <w:rsid w:val="00533805"/>
    <w:rsid w:val="0053384C"/>
    <w:rsid w:val="005338F9"/>
    <w:rsid w:val="0053394D"/>
    <w:rsid w:val="0053399A"/>
    <w:rsid w:val="005339BE"/>
    <w:rsid w:val="005339FE"/>
    <w:rsid w:val="00533A2C"/>
    <w:rsid w:val="00533AA8"/>
    <w:rsid w:val="00533ADC"/>
    <w:rsid w:val="00533BED"/>
    <w:rsid w:val="00533BF5"/>
    <w:rsid w:val="00533EF5"/>
    <w:rsid w:val="00533F32"/>
    <w:rsid w:val="00533F48"/>
    <w:rsid w:val="00533F5F"/>
    <w:rsid w:val="00533FC7"/>
    <w:rsid w:val="00534047"/>
    <w:rsid w:val="005340C1"/>
    <w:rsid w:val="00534110"/>
    <w:rsid w:val="00534143"/>
    <w:rsid w:val="00534312"/>
    <w:rsid w:val="0053455F"/>
    <w:rsid w:val="005346D8"/>
    <w:rsid w:val="00534820"/>
    <w:rsid w:val="005348C4"/>
    <w:rsid w:val="00534A40"/>
    <w:rsid w:val="00534A73"/>
    <w:rsid w:val="00534BC3"/>
    <w:rsid w:val="00534BD9"/>
    <w:rsid w:val="00534CDB"/>
    <w:rsid w:val="00534D39"/>
    <w:rsid w:val="00534EA3"/>
    <w:rsid w:val="00534F42"/>
    <w:rsid w:val="00535007"/>
    <w:rsid w:val="005350AE"/>
    <w:rsid w:val="00535129"/>
    <w:rsid w:val="00535149"/>
    <w:rsid w:val="0053526B"/>
    <w:rsid w:val="0053531E"/>
    <w:rsid w:val="005353E0"/>
    <w:rsid w:val="00535448"/>
    <w:rsid w:val="0053557D"/>
    <w:rsid w:val="0053569E"/>
    <w:rsid w:val="00535710"/>
    <w:rsid w:val="0053587B"/>
    <w:rsid w:val="0053589B"/>
    <w:rsid w:val="0053597B"/>
    <w:rsid w:val="00535C7F"/>
    <w:rsid w:val="00535CF5"/>
    <w:rsid w:val="00535DD2"/>
    <w:rsid w:val="00535E9B"/>
    <w:rsid w:val="00535F5B"/>
    <w:rsid w:val="0053603D"/>
    <w:rsid w:val="0053610F"/>
    <w:rsid w:val="005362CB"/>
    <w:rsid w:val="00536303"/>
    <w:rsid w:val="00536375"/>
    <w:rsid w:val="005363C7"/>
    <w:rsid w:val="0053647F"/>
    <w:rsid w:val="005364DD"/>
    <w:rsid w:val="00536A22"/>
    <w:rsid w:val="00536B50"/>
    <w:rsid w:val="00536BB7"/>
    <w:rsid w:val="00536C12"/>
    <w:rsid w:val="00536CBC"/>
    <w:rsid w:val="00536CE9"/>
    <w:rsid w:val="00536D2A"/>
    <w:rsid w:val="00536D42"/>
    <w:rsid w:val="00536E10"/>
    <w:rsid w:val="00536ED6"/>
    <w:rsid w:val="00536F04"/>
    <w:rsid w:val="00536F2C"/>
    <w:rsid w:val="00536F2F"/>
    <w:rsid w:val="00536FE3"/>
    <w:rsid w:val="00536FFC"/>
    <w:rsid w:val="00537104"/>
    <w:rsid w:val="00537173"/>
    <w:rsid w:val="005371B7"/>
    <w:rsid w:val="005371EF"/>
    <w:rsid w:val="0053723A"/>
    <w:rsid w:val="005372B0"/>
    <w:rsid w:val="00537349"/>
    <w:rsid w:val="0053738D"/>
    <w:rsid w:val="0053742A"/>
    <w:rsid w:val="00537533"/>
    <w:rsid w:val="005375CD"/>
    <w:rsid w:val="0053764E"/>
    <w:rsid w:val="005376C1"/>
    <w:rsid w:val="00537736"/>
    <w:rsid w:val="005377B7"/>
    <w:rsid w:val="005378D8"/>
    <w:rsid w:val="005379BD"/>
    <w:rsid w:val="00537AD8"/>
    <w:rsid w:val="00537C85"/>
    <w:rsid w:val="00537D4D"/>
    <w:rsid w:val="00537D56"/>
    <w:rsid w:val="00537D78"/>
    <w:rsid w:val="00537E0D"/>
    <w:rsid w:val="00537E0F"/>
    <w:rsid w:val="00537E82"/>
    <w:rsid w:val="00537FE3"/>
    <w:rsid w:val="00540338"/>
    <w:rsid w:val="00540561"/>
    <w:rsid w:val="005406EB"/>
    <w:rsid w:val="00540821"/>
    <w:rsid w:val="005408B7"/>
    <w:rsid w:val="00540939"/>
    <w:rsid w:val="005409C6"/>
    <w:rsid w:val="00540A17"/>
    <w:rsid w:val="00540A1E"/>
    <w:rsid w:val="00540A47"/>
    <w:rsid w:val="00540C08"/>
    <w:rsid w:val="00540C70"/>
    <w:rsid w:val="00540E7D"/>
    <w:rsid w:val="00540EA7"/>
    <w:rsid w:val="00540F22"/>
    <w:rsid w:val="00541030"/>
    <w:rsid w:val="00541089"/>
    <w:rsid w:val="005411F2"/>
    <w:rsid w:val="00541227"/>
    <w:rsid w:val="005413D1"/>
    <w:rsid w:val="005414C3"/>
    <w:rsid w:val="005414EF"/>
    <w:rsid w:val="0054156F"/>
    <w:rsid w:val="005415A0"/>
    <w:rsid w:val="00541603"/>
    <w:rsid w:val="00541696"/>
    <w:rsid w:val="00541735"/>
    <w:rsid w:val="00541AE8"/>
    <w:rsid w:val="00541AEE"/>
    <w:rsid w:val="00541BD9"/>
    <w:rsid w:val="00541D29"/>
    <w:rsid w:val="00541DD6"/>
    <w:rsid w:val="00541ECE"/>
    <w:rsid w:val="00542102"/>
    <w:rsid w:val="0054224C"/>
    <w:rsid w:val="0054231A"/>
    <w:rsid w:val="0054232A"/>
    <w:rsid w:val="005423FD"/>
    <w:rsid w:val="0054248D"/>
    <w:rsid w:val="0054263D"/>
    <w:rsid w:val="00542664"/>
    <w:rsid w:val="005427A6"/>
    <w:rsid w:val="00542839"/>
    <w:rsid w:val="0054289A"/>
    <w:rsid w:val="0054298E"/>
    <w:rsid w:val="00542CB6"/>
    <w:rsid w:val="00542D2D"/>
    <w:rsid w:val="00542D3F"/>
    <w:rsid w:val="00542D82"/>
    <w:rsid w:val="00542F17"/>
    <w:rsid w:val="00543067"/>
    <w:rsid w:val="005430C2"/>
    <w:rsid w:val="00543149"/>
    <w:rsid w:val="005431B5"/>
    <w:rsid w:val="00543295"/>
    <w:rsid w:val="00543355"/>
    <w:rsid w:val="00543464"/>
    <w:rsid w:val="005435E1"/>
    <w:rsid w:val="00543602"/>
    <w:rsid w:val="005436B4"/>
    <w:rsid w:val="00543710"/>
    <w:rsid w:val="0054371C"/>
    <w:rsid w:val="00543DCA"/>
    <w:rsid w:val="00543E9F"/>
    <w:rsid w:val="00543EC6"/>
    <w:rsid w:val="00543F1C"/>
    <w:rsid w:val="00543F23"/>
    <w:rsid w:val="005440E8"/>
    <w:rsid w:val="00544100"/>
    <w:rsid w:val="005444F5"/>
    <w:rsid w:val="00544515"/>
    <w:rsid w:val="00544523"/>
    <w:rsid w:val="00544552"/>
    <w:rsid w:val="0054459D"/>
    <w:rsid w:val="005447FD"/>
    <w:rsid w:val="00544802"/>
    <w:rsid w:val="00544822"/>
    <w:rsid w:val="005449BF"/>
    <w:rsid w:val="00544AD5"/>
    <w:rsid w:val="00544B61"/>
    <w:rsid w:val="00544B79"/>
    <w:rsid w:val="00544BDD"/>
    <w:rsid w:val="00544C24"/>
    <w:rsid w:val="00544C68"/>
    <w:rsid w:val="00544CA0"/>
    <w:rsid w:val="00544D2B"/>
    <w:rsid w:val="00545055"/>
    <w:rsid w:val="005451EC"/>
    <w:rsid w:val="005451F7"/>
    <w:rsid w:val="00545284"/>
    <w:rsid w:val="00545346"/>
    <w:rsid w:val="005453BE"/>
    <w:rsid w:val="00545429"/>
    <w:rsid w:val="0054554B"/>
    <w:rsid w:val="005457A2"/>
    <w:rsid w:val="00545863"/>
    <w:rsid w:val="00545871"/>
    <w:rsid w:val="005458F8"/>
    <w:rsid w:val="0054591E"/>
    <w:rsid w:val="00545B9C"/>
    <w:rsid w:val="00545D10"/>
    <w:rsid w:val="00545D20"/>
    <w:rsid w:val="00545D2E"/>
    <w:rsid w:val="00545DFE"/>
    <w:rsid w:val="00545ED1"/>
    <w:rsid w:val="00545FE1"/>
    <w:rsid w:val="00546004"/>
    <w:rsid w:val="00546150"/>
    <w:rsid w:val="005461C3"/>
    <w:rsid w:val="005461F9"/>
    <w:rsid w:val="0054648C"/>
    <w:rsid w:val="00546603"/>
    <w:rsid w:val="0054663D"/>
    <w:rsid w:val="005466B7"/>
    <w:rsid w:val="0054678B"/>
    <w:rsid w:val="00546798"/>
    <w:rsid w:val="00546842"/>
    <w:rsid w:val="0054687E"/>
    <w:rsid w:val="005468BD"/>
    <w:rsid w:val="00546A48"/>
    <w:rsid w:val="00546A90"/>
    <w:rsid w:val="00546B45"/>
    <w:rsid w:val="00546B5A"/>
    <w:rsid w:val="00546B91"/>
    <w:rsid w:val="00546D23"/>
    <w:rsid w:val="00546DE4"/>
    <w:rsid w:val="00546E99"/>
    <w:rsid w:val="00546EBB"/>
    <w:rsid w:val="00546FD2"/>
    <w:rsid w:val="00546FE8"/>
    <w:rsid w:val="00546FF7"/>
    <w:rsid w:val="00547028"/>
    <w:rsid w:val="005470E6"/>
    <w:rsid w:val="00547175"/>
    <w:rsid w:val="005472A9"/>
    <w:rsid w:val="005472F6"/>
    <w:rsid w:val="005473B5"/>
    <w:rsid w:val="00547540"/>
    <w:rsid w:val="00547866"/>
    <w:rsid w:val="005478F2"/>
    <w:rsid w:val="00547917"/>
    <w:rsid w:val="00547994"/>
    <w:rsid w:val="00547995"/>
    <w:rsid w:val="005479EB"/>
    <w:rsid w:val="00547AE0"/>
    <w:rsid w:val="00547C53"/>
    <w:rsid w:val="00547DFA"/>
    <w:rsid w:val="0055011B"/>
    <w:rsid w:val="005501D2"/>
    <w:rsid w:val="00550548"/>
    <w:rsid w:val="005506EC"/>
    <w:rsid w:val="0055075F"/>
    <w:rsid w:val="005509C3"/>
    <w:rsid w:val="00550BD2"/>
    <w:rsid w:val="00550C00"/>
    <w:rsid w:val="00550D5F"/>
    <w:rsid w:val="00551032"/>
    <w:rsid w:val="00551154"/>
    <w:rsid w:val="005511E0"/>
    <w:rsid w:val="005512FC"/>
    <w:rsid w:val="00551399"/>
    <w:rsid w:val="0055146A"/>
    <w:rsid w:val="0055157F"/>
    <w:rsid w:val="0055160A"/>
    <w:rsid w:val="00551746"/>
    <w:rsid w:val="0055182E"/>
    <w:rsid w:val="0055183B"/>
    <w:rsid w:val="0055195B"/>
    <w:rsid w:val="00551D64"/>
    <w:rsid w:val="00551E35"/>
    <w:rsid w:val="00551F8C"/>
    <w:rsid w:val="005520C2"/>
    <w:rsid w:val="00552224"/>
    <w:rsid w:val="00552233"/>
    <w:rsid w:val="00552276"/>
    <w:rsid w:val="005522E5"/>
    <w:rsid w:val="0055232C"/>
    <w:rsid w:val="00552403"/>
    <w:rsid w:val="0055269C"/>
    <w:rsid w:val="005526CC"/>
    <w:rsid w:val="005526DE"/>
    <w:rsid w:val="0055282A"/>
    <w:rsid w:val="005528E8"/>
    <w:rsid w:val="00552A90"/>
    <w:rsid w:val="00552B05"/>
    <w:rsid w:val="00552B25"/>
    <w:rsid w:val="00552BB8"/>
    <w:rsid w:val="00552D42"/>
    <w:rsid w:val="00552D73"/>
    <w:rsid w:val="00552E70"/>
    <w:rsid w:val="00552F12"/>
    <w:rsid w:val="00552F24"/>
    <w:rsid w:val="00552F6E"/>
    <w:rsid w:val="00553067"/>
    <w:rsid w:val="005531A6"/>
    <w:rsid w:val="005531D8"/>
    <w:rsid w:val="0055334A"/>
    <w:rsid w:val="00553372"/>
    <w:rsid w:val="005533DA"/>
    <w:rsid w:val="005534E6"/>
    <w:rsid w:val="00553591"/>
    <w:rsid w:val="005537CF"/>
    <w:rsid w:val="005538DC"/>
    <w:rsid w:val="00553970"/>
    <w:rsid w:val="005539B3"/>
    <w:rsid w:val="00553BB2"/>
    <w:rsid w:val="00553C2A"/>
    <w:rsid w:val="00553C59"/>
    <w:rsid w:val="00553C99"/>
    <w:rsid w:val="00553D5E"/>
    <w:rsid w:val="00553E84"/>
    <w:rsid w:val="00554257"/>
    <w:rsid w:val="00554282"/>
    <w:rsid w:val="005542CE"/>
    <w:rsid w:val="0055432D"/>
    <w:rsid w:val="0055440F"/>
    <w:rsid w:val="005544CD"/>
    <w:rsid w:val="005544F5"/>
    <w:rsid w:val="0055465C"/>
    <w:rsid w:val="00554936"/>
    <w:rsid w:val="00554A2F"/>
    <w:rsid w:val="00554BE2"/>
    <w:rsid w:val="00554DA8"/>
    <w:rsid w:val="00555160"/>
    <w:rsid w:val="00555252"/>
    <w:rsid w:val="005552EA"/>
    <w:rsid w:val="00555318"/>
    <w:rsid w:val="005553A0"/>
    <w:rsid w:val="0055560B"/>
    <w:rsid w:val="005556B1"/>
    <w:rsid w:val="0055580E"/>
    <w:rsid w:val="005558A2"/>
    <w:rsid w:val="00555986"/>
    <w:rsid w:val="005559F0"/>
    <w:rsid w:val="00555BB0"/>
    <w:rsid w:val="00555CBD"/>
    <w:rsid w:val="00555CC4"/>
    <w:rsid w:val="00555CC6"/>
    <w:rsid w:val="00555CEB"/>
    <w:rsid w:val="00555CED"/>
    <w:rsid w:val="00555D83"/>
    <w:rsid w:val="00555D99"/>
    <w:rsid w:val="00555DC5"/>
    <w:rsid w:val="00555E58"/>
    <w:rsid w:val="00555E91"/>
    <w:rsid w:val="00556006"/>
    <w:rsid w:val="00556067"/>
    <w:rsid w:val="005561AD"/>
    <w:rsid w:val="00556205"/>
    <w:rsid w:val="0055621F"/>
    <w:rsid w:val="0055630D"/>
    <w:rsid w:val="0055637E"/>
    <w:rsid w:val="00556420"/>
    <w:rsid w:val="0055646F"/>
    <w:rsid w:val="005564CA"/>
    <w:rsid w:val="00556544"/>
    <w:rsid w:val="005565E2"/>
    <w:rsid w:val="005567FD"/>
    <w:rsid w:val="00556800"/>
    <w:rsid w:val="00556860"/>
    <w:rsid w:val="005569BE"/>
    <w:rsid w:val="00556A24"/>
    <w:rsid w:val="00556DF1"/>
    <w:rsid w:val="00556FD1"/>
    <w:rsid w:val="0055703F"/>
    <w:rsid w:val="00557069"/>
    <w:rsid w:val="005570B8"/>
    <w:rsid w:val="00557280"/>
    <w:rsid w:val="00557351"/>
    <w:rsid w:val="0055737F"/>
    <w:rsid w:val="00557528"/>
    <w:rsid w:val="00557530"/>
    <w:rsid w:val="00557556"/>
    <w:rsid w:val="0055756C"/>
    <w:rsid w:val="005575E6"/>
    <w:rsid w:val="00557934"/>
    <w:rsid w:val="00557973"/>
    <w:rsid w:val="005579B5"/>
    <w:rsid w:val="00557A49"/>
    <w:rsid w:val="00557B1E"/>
    <w:rsid w:val="00557B49"/>
    <w:rsid w:val="00557D68"/>
    <w:rsid w:val="00557DD4"/>
    <w:rsid w:val="00557ECF"/>
    <w:rsid w:val="00560284"/>
    <w:rsid w:val="00560293"/>
    <w:rsid w:val="005602C6"/>
    <w:rsid w:val="005603EB"/>
    <w:rsid w:val="00560446"/>
    <w:rsid w:val="00560717"/>
    <w:rsid w:val="005607A9"/>
    <w:rsid w:val="0056092A"/>
    <w:rsid w:val="0056099F"/>
    <w:rsid w:val="00560B80"/>
    <w:rsid w:val="00560D01"/>
    <w:rsid w:val="00560FD1"/>
    <w:rsid w:val="00561018"/>
    <w:rsid w:val="00561119"/>
    <w:rsid w:val="005611C0"/>
    <w:rsid w:val="0056124D"/>
    <w:rsid w:val="00561292"/>
    <w:rsid w:val="00561406"/>
    <w:rsid w:val="005614DE"/>
    <w:rsid w:val="00561919"/>
    <w:rsid w:val="00561AD9"/>
    <w:rsid w:val="00561B02"/>
    <w:rsid w:val="00561BCC"/>
    <w:rsid w:val="00561C56"/>
    <w:rsid w:val="00561D62"/>
    <w:rsid w:val="00561D9F"/>
    <w:rsid w:val="00561FAE"/>
    <w:rsid w:val="00562008"/>
    <w:rsid w:val="00562047"/>
    <w:rsid w:val="005620F4"/>
    <w:rsid w:val="005621C3"/>
    <w:rsid w:val="00562298"/>
    <w:rsid w:val="005625CB"/>
    <w:rsid w:val="0056260B"/>
    <w:rsid w:val="00562744"/>
    <w:rsid w:val="005627B3"/>
    <w:rsid w:val="00562963"/>
    <w:rsid w:val="00562B29"/>
    <w:rsid w:val="00562B2B"/>
    <w:rsid w:val="00562CF7"/>
    <w:rsid w:val="00562E4C"/>
    <w:rsid w:val="00562F17"/>
    <w:rsid w:val="00562F49"/>
    <w:rsid w:val="00562FE3"/>
    <w:rsid w:val="005631B1"/>
    <w:rsid w:val="005632EE"/>
    <w:rsid w:val="005632FF"/>
    <w:rsid w:val="0056330B"/>
    <w:rsid w:val="00563353"/>
    <w:rsid w:val="0056338F"/>
    <w:rsid w:val="005634C3"/>
    <w:rsid w:val="00563571"/>
    <w:rsid w:val="005635FD"/>
    <w:rsid w:val="00563694"/>
    <w:rsid w:val="005636C6"/>
    <w:rsid w:val="0056384B"/>
    <w:rsid w:val="00563948"/>
    <w:rsid w:val="00563AF9"/>
    <w:rsid w:val="00563CB1"/>
    <w:rsid w:val="00563E15"/>
    <w:rsid w:val="00563E21"/>
    <w:rsid w:val="00563F32"/>
    <w:rsid w:val="00563F3C"/>
    <w:rsid w:val="00564158"/>
    <w:rsid w:val="0056416F"/>
    <w:rsid w:val="005641CF"/>
    <w:rsid w:val="0056425B"/>
    <w:rsid w:val="005642F6"/>
    <w:rsid w:val="00564672"/>
    <w:rsid w:val="0056467B"/>
    <w:rsid w:val="005647FB"/>
    <w:rsid w:val="0056495D"/>
    <w:rsid w:val="00564A24"/>
    <w:rsid w:val="00564B19"/>
    <w:rsid w:val="00564B92"/>
    <w:rsid w:val="00564CA8"/>
    <w:rsid w:val="00564CF4"/>
    <w:rsid w:val="00564E0D"/>
    <w:rsid w:val="00564FFD"/>
    <w:rsid w:val="0056500C"/>
    <w:rsid w:val="0056501F"/>
    <w:rsid w:val="00565037"/>
    <w:rsid w:val="005650C0"/>
    <w:rsid w:val="005650F0"/>
    <w:rsid w:val="00565105"/>
    <w:rsid w:val="0056519E"/>
    <w:rsid w:val="00565361"/>
    <w:rsid w:val="005653DA"/>
    <w:rsid w:val="005653E5"/>
    <w:rsid w:val="0056554E"/>
    <w:rsid w:val="0056557B"/>
    <w:rsid w:val="0056579E"/>
    <w:rsid w:val="005657BB"/>
    <w:rsid w:val="0056582C"/>
    <w:rsid w:val="005658C5"/>
    <w:rsid w:val="0056596A"/>
    <w:rsid w:val="0056599F"/>
    <w:rsid w:val="00565C90"/>
    <w:rsid w:val="00565CC9"/>
    <w:rsid w:val="00565CEA"/>
    <w:rsid w:val="00565D01"/>
    <w:rsid w:val="00565F8E"/>
    <w:rsid w:val="005660D9"/>
    <w:rsid w:val="005661B5"/>
    <w:rsid w:val="005661CC"/>
    <w:rsid w:val="005662F4"/>
    <w:rsid w:val="005666BC"/>
    <w:rsid w:val="00566719"/>
    <w:rsid w:val="0056675E"/>
    <w:rsid w:val="00566783"/>
    <w:rsid w:val="005667D7"/>
    <w:rsid w:val="0056684F"/>
    <w:rsid w:val="005669DA"/>
    <w:rsid w:val="00566A96"/>
    <w:rsid w:val="00566B2C"/>
    <w:rsid w:val="00566C2B"/>
    <w:rsid w:val="00566E0F"/>
    <w:rsid w:val="00566E9C"/>
    <w:rsid w:val="00566F5B"/>
    <w:rsid w:val="00566F70"/>
    <w:rsid w:val="00567076"/>
    <w:rsid w:val="005670A0"/>
    <w:rsid w:val="00567246"/>
    <w:rsid w:val="005672D6"/>
    <w:rsid w:val="0056742A"/>
    <w:rsid w:val="00567463"/>
    <w:rsid w:val="0056760E"/>
    <w:rsid w:val="005676F4"/>
    <w:rsid w:val="00567A46"/>
    <w:rsid w:val="00567ADE"/>
    <w:rsid w:val="00567AEF"/>
    <w:rsid w:val="00567C81"/>
    <w:rsid w:val="00567D58"/>
    <w:rsid w:val="00567D6E"/>
    <w:rsid w:val="00567DEB"/>
    <w:rsid w:val="00567F69"/>
    <w:rsid w:val="00567F94"/>
    <w:rsid w:val="00567FD6"/>
    <w:rsid w:val="005700CE"/>
    <w:rsid w:val="0057039D"/>
    <w:rsid w:val="00570409"/>
    <w:rsid w:val="00570589"/>
    <w:rsid w:val="005705B8"/>
    <w:rsid w:val="005705C7"/>
    <w:rsid w:val="0057086C"/>
    <w:rsid w:val="00570884"/>
    <w:rsid w:val="00570956"/>
    <w:rsid w:val="00570A38"/>
    <w:rsid w:val="00570C53"/>
    <w:rsid w:val="00570DDE"/>
    <w:rsid w:val="00570E10"/>
    <w:rsid w:val="005711F0"/>
    <w:rsid w:val="00571268"/>
    <w:rsid w:val="0057133F"/>
    <w:rsid w:val="00571351"/>
    <w:rsid w:val="005713AA"/>
    <w:rsid w:val="0057140E"/>
    <w:rsid w:val="00571410"/>
    <w:rsid w:val="00571697"/>
    <w:rsid w:val="00571734"/>
    <w:rsid w:val="0057186F"/>
    <w:rsid w:val="005718BF"/>
    <w:rsid w:val="00571AA0"/>
    <w:rsid w:val="00571B7E"/>
    <w:rsid w:val="00571D25"/>
    <w:rsid w:val="00571D58"/>
    <w:rsid w:val="00571F23"/>
    <w:rsid w:val="00571F42"/>
    <w:rsid w:val="00571F55"/>
    <w:rsid w:val="00572095"/>
    <w:rsid w:val="00572278"/>
    <w:rsid w:val="005723B1"/>
    <w:rsid w:val="0057249E"/>
    <w:rsid w:val="005724EF"/>
    <w:rsid w:val="005725C8"/>
    <w:rsid w:val="00572727"/>
    <w:rsid w:val="0057273B"/>
    <w:rsid w:val="005728BF"/>
    <w:rsid w:val="005728FF"/>
    <w:rsid w:val="00572993"/>
    <w:rsid w:val="00572B88"/>
    <w:rsid w:val="00572C00"/>
    <w:rsid w:val="00572D11"/>
    <w:rsid w:val="00572DEA"/>
    <w:rsid w:val="00572FD0"/>
    <w:rsid w:val="005730AF"/>
    <w:rsid w:val="00573129"/>
    <w:rsid w:val="0057319C"/>
    <w:rsid w:val="0057319D"/>
    <w:rsid w:val="00573230"/>
    <w:rsid w:val="0057350C"/>
    <w:rsid w:val="00573597"/>
    <w:rsid w:val="0057376F"/>
    <w:rsid w:val="0057385B"/>
    <w:rsid w:val="00573917"/>
    <w:rsid w:val="00573984"/>
    <w:rsid w:val="00573AE9"/>
    <w:rsid w:val="00573B3F"/>
    <w:rsid w:val="00573B5A"/>
    <w:rsid w:val="00573CBF"/>
    <w:rsid w:val="00573D00"/>
    <w:rsid w:val="00573D04"/>
    <w:rsid w:val="00573D71"/>
    <w:rsid w:val="00573ED4"/>
    <w:rsid w:val="00574092"/>
    <w:rsid w:val="00574288"/>
    <w:rsid w:val="00574292"/>
    <w:rsid w:val="0057438F"/>
    <w:rsid w:val="00574480"/>
    <w:rsid w:val="005744B2"/>
    <w:rsid w:val="00574511"/>
    <w:rsid w:val="00574572"/>
    <w:rsid w:val="005745B8"/>
    <w:rsid w:val="005745D8"/>
    <w:rsid w:val="005748C5"/>
    <w:rsid w:val="0057492A"/>
    <w:rsid w:val="00574A85"/>
    <w:rsid w:val="00574B14"/>
    <w:rsid w:val="00574BAE"/>
    <w:rsid w:val="00574C64"/>
    <w:rsid w:val="00574E5E"/>
    <w:rsid w:val="00574F7F"/>
    <w:rsid w:val="00575054"/>
    <w:rsid w:val="0057507D"/>
    <w:rsid w:val="00575343"/>
    <w:rsid w:val="005753B2"/>
    <w:rsid w:val="00575582"/>
    <w:rsid w:val="0057559C"/>
    <w:rsid w:val="005758B0"/>
    <w:rsid w:val="00575937"/>
    <w:rsid w:val="00575A60"/>
    <w:rsid w:val="00575AEE"/>
    <w:rsid w:val="00575DE8"/>
    <w:rsid w:val="00575DEA"/>
    <w:rsid w:val="00575E05"/>
    <w:rsid w:val="005760C3"/>
    <w:rsid w:val="005761E1"/>
    <w:rsid w:val="00576450"/>
    <w:rsid w:val="0057659D"/>
    <w:rsid w:val="00576763"/>
    <w:rsid w:val="00576890"/>
    <w:rsid w:val="005768FF"/>
    <w:rsid w:val="00576939"/>
    <w:rsid w:val="00576A3B"/>
    <w:rsid w:val="00576BB6"/>
    <w:rsid w:val="00576C0C"/>
    <w:rsid w:val="00576C15"/>
    <w:rsid w:val="00576D30"/>
    <w:rsid w:val="00576D38"/>
    <w:rsid w:val="00577052"/>
    <w:rsid w:val="0057710E"/>
    <w:rsid w:val="005771F5"/>
    <w:rsid w:val="005771FB"/>
    <w:rsid w:val="00577260"/>
    <w:rsid w:val="005772E5"/>
    <w:rsid w:val="0057737B"/>
    <w:rsid w:val="0057741B"/>
    <w:rsid w:val="0057755D"/>
    <w:rsid w:val="00577629"/>
    <w:rsid w:val="005776B2"/>
    <w:rsid w:val="00577714"/>
    <w:rsid w:val="00577752"/>
    <w:rsid w:val="00577762"/>
    <w:rsid w:val="00577800"/>
    <w:rsid w:val="00577850"/>
    <w:rsid w:val="005778A6"/>
    <w:rsid w:val="00577A6F"/>
    <w:rsid w:val="00577B0A"/>
    <w:rsid w:val="00577B67"/>
    <w:rsid w:val="00577C29"/>
    <w:rsid w:val="00577CA2"/>
    <w:rsid w:val="00577D31"/>
    <w:rsid w:val="00577E54"/>
    <w:rsid w:val="00577F14"/>
    <w:rsid w:val="00577F4D"/>
    <w:rsid w:val="00577FAB"/>
    <w:rsid w:val="005801D7"/>
    <w:rsid w:val="00580284"/>
    <w:rsid w:val="00580690"/>
    <w:rsid w:val="00580785"/>
    <w:rsid w:val="0058095B"/>
    <w:rsid w:val="00580B93"/>
    <w:rsid w:val="00580C81"/>
    <w:rsid w:val="00580DA4"/>
    <w:rsid w:val="00580E27"/>
    <w:rsid w:val="00580F4E"/>
    <w:rsid w:val="00581027"/>
    <w:rsid w:val="005810BA"/>
    <w:rsid w:val="00581122"/>
    <w:rsid w:val="005811D2"/>
    <w:rsid w:val="005811E3"/>
    <w:rsid w:val="00581293"/>
    <w:rsid w:val="005812C5"/>
    <w:rsid w:val="005812FF"/>
    <w:rsid w:val="00581365"/>
    <w:rsid w:val="005813A2"/>
    <w:rsid w:val="0058184C"/>
    <w:rsid w:val="00581BF8"/>
    <w:rsid w:val="00581EEC"/>
    <w:rsid w:val="00581FF4"/>
    <w:rsid w:val="005820F3"/>
    <w:rsid w:val="005822B5"/>
    <w:rsid w:val="005822D0"/>
    <w:rsid w:val="005824E0"/>
    <w:rsid w:val="00582666"/>
    <w:rsid w:val="00582B01"/>
    <w:rsid w:val="00582B1D"/>
    <w:rsid w:val="00582D38"/>
    <w:rsid w:val="00582F1D"/>
    <w:rsid w:val="0058323A"/>
    <w:rsid w:val="005832C5"/>
    <w:rsid w:val="00583337"/>
    <w:rsid w:val="00583387"/>
    <w:rsid w:val="005833DB"/>
    <w:rsid w:val="005834F1"/>
    <w:rsid w:val="005835B9"/>
    <w:rsid w:val="00583611"/>
    <w:rsid w:val="0058376D"/>
    <w:rsid w:val="00583831"/>
    <w:rsid w:val="0058387B"/>
    <w:rsid w:val="005838BE"/>
    <w:rsid w:val="005838F7"/>
    <w:rsid w:val="00583A90"/>
    <w:rsid w:val="00583B43"/>
    <w:rsid w:val="00583C2D"/>
    <w:rsid w:val="00583E5F"/>
    <w:rsid w:val="00584067"/>
    <w:rsid w:val="005840B1"/>
    <w:rsid w:val="005841D6"/>
    <w:rsid w:val="005842D0"/>
    <w:rsid w:val="00584417"/>
    <w:rsid w:val="005845EF"/>
    <w:rsid w:val="00584680"/>
    <w:rsid w:val="0058472B"/>
    <w:rsid w:val="00584773"/>
    <w:rsid w:val="005847B7"/>
    <w:rsid w:val="00584898"/>
    <w:rsid w:val="0058494D"/>
    <w:rsid w:val="00584966"/>
    <w:rsid w:val="00584973"/>
    <w:rsid w:val="00584A53"/>
    <w:rsid w:val="00584AB2"/>
    <w:rsid w:val="00584B7C"/>
    <w:rsid w:val="00584C07"/>
    <w:rsid w:val="00584C4D"/>
    <w:rsid w:val="00584D1E"/>
    <w:rsid w:val="00584DB6"/>
    <w:rsid w:val="00584E14"/>
    <w:rsid w:val="00584FCD"/>
    <w:rsid w:val="005850BF"/>
    <w:rsid w:val="00585178"/>
    <w:rsid w:val="00585220"/>
    <w:rsid w:val="0058546E"/>
    <w:rsid w:val="00585636"/>
    <w:rsid w:val="00585659"/>
    <w:rsid w:val="0058566B"/>
    <w:rsid w:val="00585672"/>
    <w:rsid w:val="00585695"/>
    <w:rsid w:val="0058593E"/>
    <w:rsid w:val="0058597F"/>
    <w:rsid w:val="005859A7"/>
    <w:rsid w:val="005859B7"/>
    <w:rsid w:val="005859E1"/>
    <w:rsid w:val="00585B83"/>
    <w:rsid w:val="00585D7F"/>
    <w:rsid w:val="00585E79"/>
    <w:rsid w:val="00585ECF"/>
    <w:rsid w:val="00586007"/>
    <w:rsid w:val="005861B9"/>
    <w:rsid w:val="0058641A"/>
    <w:rsid w:val="0058642A"/>
    <w:rsid w:val="00586605"/>
    <w:rsid w:val="005866AE"/>
    <w:rsid w:val="005866B6"/>
    <w:rsid w:val="00586792"/>
    <w:rsid w:val="00586832"/>
    <w:rsid w:val="00586861"/>
    <w:rsid w:val="00586880"/>
    <w:rsid w:val="005868DE"/>
    <w:rsid w:val="00586AEF"/>
    <w:rsid w:val="00586C4B"/>
    <w:rsid w:val="00586D71"/>
    <w:rsid w:val="00586E27"/>
    <w:rsid w:val="00586EB0"/>
    <w:rsid w:val="00586F65"/>
    <w:rsid w:val="00586F96"/>
    <w:rsid w:val="00586FAD"/>
    <w:rsid w:val="00586FD3"/>
    <w:rsid w:val="00587065"/>
    <w:rsid w:val="0058728B"/>
    <w:rsid w:val="00587333"/>
    <w:rsid w:val="0058739E"/>
    <w:rsid w:val="005877AC"/>
    <w:rsid w:val="0058781C"/>
    <w:rsid w:val="00587851"/>
    <w:rsid w:val="005878C6"/>
    <w:rsid w:val="005878F5"/>
    <w:rsid w:val="00587904"/>
    <w:rsid w:val="00587910"/>
    <w:rsid w:val="00587931"/>
    <w:rsid w:val="00587958"/>
    <w:rsid w:val="00587992"/>
    <w:rsid w:val="005879D4"/>
    <w:rsid w:val="00587B5C"/>
    <w:rsid w:val="00587BEE"/>
    <w:rsid w:val="00587E66"/>
    <w:rsid w:val="00587ED9"/>
    <w:rsid w:val="005901E9"/>
    <w:rsid w:val="00590257"/>
    <w:rsid w:val="005904D7"/>
    <w:rsid w:val="0059061A"/>
    <w:rsid w:val="00590699"/>
    <w:rsid w:val="0059070F"/>
    <w:rsid w:val="00590866"/>
    <w:rsid w:val="00590999"/>
    <w:rsid w:val="00590A8B"/>
    <w:rsid w:val="00590C24"/>
    <w:rsid w:val="00590C49"/>
    <w:rsid w:val="00590E4A"/>
    <w:rsid w:val="00590EC7"/>
    <w:rsid w:val="00590F36"/>
    <w:rsid w:val="00590F8B"/>
    <w:rsid w:val="00591083"/>
    <w:rsid w:val="005910AF"/>
    <w:rsid w:val="00591130"/>
    <w:rsid w:val="0059124F"/>
    <w:rsid w:val="00591254"/>
    <w:rsid w:val="005912D7"/>
    <w:rsid w:val="00591387"/>
    <w:rsid w:val="0059146C"/>
    <w:rsid w:val="005914BE"/>
    <w:rsid w:val="005916E2"/>
    <w:rsid w:val="00591721"/>
    <w:rsid w:val="00591843"/>
    <w:rsid w:val="0059187C"/>
    <w:rsid w:val="005918C3"/>
    <w:rsid w:val="005918DF"/>
    <w:rsid w:val="005919BE"/>
    <w:rsid w:val="005919D7"/>
    <w:rsid w:val="00591C2F"/>
    <w:rsid w:val="00591CBF"/>
    <w:rsid w:val="00591F5B"/>
    <w:rsid w:val="00591F90"/>
    <w:rsid w:val="0059202B"/>
    <w:rsid w:val="0059206E"/>
    <w:rsid w:val="00592211"/>
    <w:rsid w:val="0059231E"/>
    <w:rsid w:val="005923CE"/>
    <w:rsid w:val="005924CF"/>
    <w:rsid w:val="0059260C"/>
    <w:rsid w:val="00592640"/>
    <w:rsid w:val="0059274B"/>
    <w:rsid w:val="00592939"/>
    <w:rsid w:val="00592A7A"/>
    <w:rsid w:val="00592BDD"/>
    <w:rsid w:val="00592BEB"/>
    <w:rsid w:val="00592DE7"/>
    <w:rsid w:val="00593006"/>
    <w:rsid w:val="0059300F"/>
    <w:rsid w:val="00593027"/>
    <w:rsid w:val="0059307A"/>
    <w:rsid w:val="0059313C"/>
    <w:rsid w:val="005931D2"/>
    <w:rsid w:val="00593249"/>
    <w:rsid w:val="0059324E"/>
    <w:rsid w:val="005932AE"/>
    <w:rsid w:val="00593370"/>
    <w:rsid w:val="005935AB"/>
    <w:rsid w:val="00593654"/>
    <w:rsid w:val="0059385A"/>
    <w:rsid w:val="005938A1"/>
    <w:rsid w:val="005938B0"/>
    <w:rsid w:val="00593A78"/>
    <w:rsid w:val="00593AB4"/>
    <w:rsid w:val="00594133"/>
    <w:rsid w:val="00594192"/>
    <w:rsid w:val="005941BF"/>
    <w:rsid w:val="00594258"/>
    <w:rsid w:val="00594466"/>
    <w:rsid w:val="00594548"/>
    <w:rsid w:val="0059456A"/>
    <w:rsid w:val="00594671"/>
    <w:rsid w:val="005946E8"/>
    <w:rsid w:val="00594708"/>
    <w:rsid w:val="00594844"/>
    <w:rsid w:val="005948DE"/>
    <w:rsid w:val="0059495A"/>
    <w:rsid w:val="00594AB3"/>
    <w:rsid w:val="00594C42"/>
    <w:rsid w:val="00594D60"/>
    <w:rsid w:val="00594EDE"/>
    <w:rsid w:val="00594F7D"/>
    <w:rsid w:val="005950D9"/>
    <w:rsid w:val="00595154"/>
    <w:rsid w:val="00595444"/>
    <w:rsid w:val="0059557A"/>
    <w:rsid w:val="0059573E"/>
    <w:rsid w:val="00595786"/>
    <w:rsid w:val="005957C9"/>
    <w:rsid w:val="005957F5"/>
    <w:rsid w:val="00595852"/>
    <w:rsid w:val="0059589B"/>
    <w:rsid w:val="00595941"/>
    <w:rsid w:val="00595971"/>
    <w:rsid w:val="0059597B"/>
    <w:rsid w:val="00595993"/>
    <w:rsid w:val="005959C4"/>
    <w:rsid w:val="00595C3D"/>
    <w:rsid w:val="00595CE9"/>
    <w:rsid w:val="00595F1A"/>
    <w:rsid w:val="00596295"/>
    <w:rsid w:val="0059633D"/>
    <w:rsid w:val="00596690"/>
    <w:rsid w:val="005966B7"/>
    <w:rsid w:val="0059676B"/>
    <w:rsid w:val="00596A64"/>
    <w:rsid w:val="00596AD6"/>
    <w:rsid w:val="00596BDA"/>
    <w:rsid w:val="00596C6B"/>
    <w:rsid w:val="00596D13"/>
    <w:rsid w:val="00596D71"/>
    <w:rsid w:val="00596EA7"/>
    <w:rsid w:val="00596ED6"/>
    <w:rsid w:val="00596F1C"/>
    <w:rsid w:val="005970B0"/>
    <w:rsid w:val="00597100"/>
    <w:rsid w:val="005971A0"/>
    <w:rsid w:val="005973C3"/>
    <w:rsid w:val="005976F5"/>
    <w:rsid w:val="00597842"/>
    <w:rsid w:val="005978AD"/>
    <w:rsid w:val="00597A90"/>
    <w:rsid w:val="00597B29"/>
    <w:rsid w:val="00597B55"/>
    <w:rsid w:val="00597CA2"/>
    <w:rsid w:val="00597CAE"/>
    <w:rsid w:val="00597CD8"/>
    <w:rsid w:val="00597F6A"/>
    <w:rsid w:val="00597FFC"/>
    <w:rsid w:val="005A00A6"/>
    <w:rsid w:val="005A025E"/>
    <w:rsid w:val="005A027A"/>
    <w:rsid w:val="005A02DC"/>
    <w:rsid w:val="005A0375"/>
    <w:rsid w:val="005A043E"/>
    <w:rsid w:val="005A08B0"/>
    <w:rsid w:val="005A0983"/>
    <w:rsid w:val="005A0B1F"/>
    <w:rsid w:val="005A0B57"/>
    <w:rsid w:val="005A0B91"/>
    <w:rsid w:val="005A0C7C"/>
    <w:rsid w:val="005A0C8E"/>
    <w:rsid w:val="005A0D15"/>
    <w:rsid w:val="005A0E44"/>
    <w:rsid w:val="005A0E4E"/>
    <w:rsid w:val="005A106E"/>
    <w:rsid w:val="005A1186"/>
    <w:rsid w:val="005A11BE"/>
    <w:rsid w:val="005A123C"/>
    <w:rsid w:val="005A125C"/>
    <w:rsid w:val="005A1292"/>
    <w:rsid w:val="005A129E"/>
    <w:rsid w:val="005A1353"/>
    <w:rsid w:val="005A1409"/>
    <w:rsid w:val="005A14DB"/>
    <w:rsid w:val="005A1588"/>
    <w:rsid w:val="005A1837"/>
    <w:rsid w:val="005A1927"/>
    <w:rsid w:val="005A19FE"/>
    <w:rsid w:val="005A1A90"/>
    <w:rsid w:val="005A1D51"/>
    <w:rsid w:val="005A1D8D"/>
    <w:rsid w:val="005A1DCB"/>
    <w:rsid w:val="005A1E42"/>
    <w:rsid w:val="005A1F29"/>
    <w:rsid w:val="005A1F96"/>
    <w:rsid w:val="005A1FA0"/>
    <w:rsid w:val="005A2057"/>
    <w:rsid w:val="005A20AC"/>
    <w:rsid w:val="005A21D3"/>
    <w:rsid w:val="005A21D4"/>
    <w:rsid w:val="005A2234"/>
    <w:rsid w:val="005A22BD"/>
    <w:rsid w:val="005A247D"/>
    <w:rsid w:val="005A24A2"/>
    <w:rsid w:val="005A256E"/>
    <w:rsid w:val="005A2629"/>
    <w:rsid w:val="005A2662"/>
    <w:rsid w:val="005A286B"/>
    <w:rsid w:val="005A28A7"/>
    <w:rsid w:val="005A2929"/>
    <w:rsid w:val="005A2DCC"/>
    <w:rsid w:val="005A31AA"/>
    <w:rsid w:val="005A31EB"/>
    <w:rsid w:val="005A31FB"/>
    <w:rsid w:val="005A3256"/>
    <w:rsid w:val="005A3381"/>
    <w:rsid w:val="005A346D"/>
    <w:rsid w:val="005A3470"/>
    <w:rsid w:val="005A35B0"/>
    <w:rsid w:val="005A360F"/>
    <w:rsid w:val="005A368B"/>
    <w:rsid w:val="005A3727"/>
    <w:rsid w:val="005A377E"/>
    <w:rsid w:val="005A37FD"/>
    <w:rsid w:val="005A3812"/>
    <w:rsid w:val="005A39EE"/>
    <w:rsid w:val="005A3B19"/>
    <w:rsid w:val="005A3C47"/>
    <w:rsid w:val="005A3C84"/>
    <w:rsid w:val="005A3CCC"/>
    <w:rsid w:val="005A3E96"/>
    <w:rsid w:val="005A3EE6"/>
    <w:rsid w:val="005A3F90"/>
    <w:rsid w:val="005A40E6"/>
    <w:rsid w:val="005A4282"/>
    <w:rsid w:val="005A4286"/>
    <w:rsid w:val="005A446E"/>
    <w:rsid w:val="005A4752"/>
    <w:rsid w:val="005A48CD"/>
    <w:rsid w:val="005A48D5"/>
    <w:rsid w:val="005A48FC"/>
    <w:rsid w:val="005A4916"/>
    <w:rsid w:val="005A49D7"/>
    <w:rsid w:val="005A4B2F"/>
    <w:rsid w:val="005A4BA9"/>
    <w:rsid w:val="005A4D46"/>
    <w:rsid w:val="005A4E6D"/>
    <w:rsid w:val="005A500F"/>
    <w:rsid w:val="005A51B7"/>
    <w:rsid w:val="005A521F"/>
    <w:rsid w:val="005A5265"/>
    <w:rsid w:val="005A5321"/>
    <w:rsid w:val="005A5487"/>
    <w:rsid w:val="005A5512"/>
    <w:rsid w:val="005A5563"/>
    <w:rsid w:val="005A5738"/>
    <w:rsid w:val="005A577C"/>
    <w:rsid w:val="005A57BE"/>
    <w:rsid w:val="005A57D1"/>
    <w:rsid w:val="005A595D"/>
    <w:rsid w:val="005A59EE"/>
    <w:rsid w:val="005A5A32"/>
    <w:rsid w:val="005A5AB6"/>
    <w:rsid w:val="005A5B4B"/>
    <w:rsid w:val="005A5BD6"/>
    <w:rsid w:val="005A5C44"/>
    <w:rsid w:val="005A61DE"/>
    <w:rsid w:val="005A6202"/>
    <w:rsid w:val="005A6222"/>
    <w:rsid w:val="005A63E0"/>
    <w:rsid w:val="005A6435"/>
    <w:rsid w:val="005A6440"/>
    <w:rsid w:val="005A6657"/>
    <w:rsid w:val="005A66CE"/>
    <w:rsid w:val="005A671B"/>
    <w:rsid w:val="005A69AE"/>
    <w:rsid w:val="005A6A7B"/>
    <w:rsid w:val="005A6A88"/>
    <w:rsid w:val="005A6C68"/>
    <w:rsid w:val="005A6C93"/>
    <w:rsid w:val="005A6D6B"/>
    <w:rsid w:val="005A6ED9"/>
    <w:rsid w:val="005A6F26"/>
    <w:rsid w:val="005A7099"/>
    <w:rsid w:val="005A71B4"/>
    <w:rsid w:val="005A72E0"/>
    <w:rsid w:val="005A76C4"/>
    <w:rsid w:val="005A7A12"/>
    <w:rsid w:val="005A7A61"/>
    <w:rsid w:val="005A7B3D"/>
    <w:rsid w:val="005A7B6B"/>
    <w:rsid w:val="005A7CA7"/>
    <w:rsid w:val="005A7D0E"/>
    <w:rsid w:val="005B0341"/>
    <w:rsid w:val="005B0373"/>
    <w:rsid w:val="005B03CB"/>
    <w:rsid w:val="005B0501"/>
    <w:rsid w:val="005B057F"/>
    <w:rsid w:val="005B08DC"/>
    <w:rsid w:val="005B0A1C"/>
    <w:rsid w:val="005B0BDD"/>
    <w:rsid w:val="005B0C49"/>
    <w:rsid w:val="005B0D4D"/>
    <w:rsid w:val="005B0D6E"/>
    <w:rsid w:val="005B0E2E"/>
    <w:rsid w:val="005B105E"/>
    <w:rsid w:val="005B10FA"/>
    <w:rsid w:val="005B1102"/>
    <w:rsid w:val="005B1163"/>
    <w:rsid w:val="005B1180"/>
    <w:rsid w:val="005B11CE"/>
    <w:rsid w:val="005B1262"/>
    <w:rsid w:val="005B128B"/>
    <w:rsid w:val="005B133F"/>
    <w:rsid w:val="005B147A"/>
    <w:rsid w:val="005B14F2"/>
    <w:rsid w:val="005B151F"/>
    <w:rsid w:val="005B162C"/>
    <w:rsid w:val="005B19B0"/>
    <w:rsid w:val="005B1A19"/>
    <w:rsid w:val="005B1BFE"/>
    <w:rsid w:val="005B1C9E"/>
    <w:rsid w:val="005B1D87"/>
    <w:rsid w:val="005B1FFB"/>
    <w:rsid w:val="005B2025"/>
    <w:rsid w:val="005B20A3"/>
    <w:rsid w:val="005B20A5"/>
    <w:rsid w:val="005B20EA"/>
    <w:rsid w:val="005B21E2"/>
    <w:rsid w:val="005B2296"/>
    <w:rsid w:val="005B239C"/>
    <w:rsid w:val="005B243E"/>
    <w:rsid w:val="005B2466"/>
    <w:rsid w:val="005B2496"/>
    <w:rsid w:val="005B2501"/>
    <w:rsid w:val="005B2AC5"/>
    <w:rsid w:val="005B2B74"/>
    <w:rsid w:val="005B2F0B"/>
    <w:rsid w:val="005B2F3A"/>
    <w:rsid w:val="005B2F4E"/>
    <w:rsid w:val="005B3284"/>
    <w:rsid w:val="005B3396"/>
    <w:rsid w:val="005B34A5"/>
    <w:rsid w:val="005B34AE"/>
    <w:rsid w:val="005B34DF"/>
    <w:rsid w:val="005B351E"/>
    <w:rsid w:val="005B36C5"/>
    <w:rsid w:val="005B3796"/>
    <w:rsid w:val="005B3A13"/>
    <w:rsid w:val="005B3B10"/>
    <w:rsid w:val="005B3C6E"/>
    <w:rsid w:val="005B3C73"/>
    <w:rsid w:val="005B3DCD"/>
    <w:rsid w:val="005B3EE9"/>
    <w:rsid w:val="005B3F98"/>
    <w:rsid w:val="005B4078"/>
    <w:rsid w:val="005B4110"/>
    <w:rsid w:val="005B4554"/>
    <w:rsid w:val="005B45EA"/>
    <w:rsid w:val="005B47E0"/>
    <w:rsid w:val="005B47E7"/>
    <w:rsid w:val="005B4861"/>
    <w:rsid w:val="005B489B"/>
    <w:rsid w:val="005B491A"/>
    <w:rsid w:val="005B49EC"/>
    <w:rsid w:val="005B4A19"/>
    <w:rsid w:val="005B4A4A"/>
    <w:rsid w:val="005B4A58"/>
    <w:rsid w:val="005B4B43"/>
    <w:rsid w:val="005B4B5D"/>
    <w:rsid w:val="005B4C21"/>
    <w:rsid w:val="005B4D63"/>
    <w:rsid w:val="005B4D83"/>
    <w:rsid w:val="005B4F90"/>
    <w:rsid w:val="005B5051"/>
    <w:rsid w:val="005B510F"/>
    <w:rsid w:val="005B516C"/>
    <w:rsid w:val="005B51F3"/>
    <w:rsid w:val="005B523D"/>
    <w:rsid w:val="005B52F2"/>
    <w:rsid w:val="005B538E"/>
    <w:rsid w:val="005B56D1"/>
    <w:rsid w:val="005B5776"/>
    <w:rsid w:val="005B584E"/>
    <w:rsid w:val="005B5D68"/>
    <w:rsid w:val="005B5E2A"/>
    <w:rsid w:val="005B5F0B"/>
    <w:rsid w:val="005B5F5F"/>
    <w:rsid w:val="005B61CD"/>
    <w:rsid w:val="005B61FE"/>
    <w:rsid w:val="005B6237"/>
    <w:rsid w:val="005B6256"/>
    <w:rsid w:val="005B62B7"/>
    <w:rsid w:val="005B62E9"/>
    <w:rsid w:val="005B6349"/>
    <w:rsid w:val="005B63F7"/>
    <w:rsid w:val="005B63FA"/>
    <w:rsid w:val="005B645D"/>
    <w:rsid w:val="005B64F5"/>
    <w:rsid w:val="005B658D"/>
    <w:rsid w:val="005B6814"/>
    <w:rsid w:val="005B685B"/>
    <w:rsid w:val="005B68B2"/>
    <w:rsid w:val="005B6934"/>
    <w:rsid w:val="005B6952"/>
    <w:rsid w:val="005B6B92"/>
    <w:rsid w:val="005B6C01"/>
    <w:rsid w:val="005B6C81"/>
    <w:rsid w:val="005B6D63"/>
    <w:rsid w:val="005B6E89"/>
    <w:rsid w:val="005B6F7C"/>
    <w:rsid w:val="005B6FAF"/>
    <w:rsid w:val="005B7132"/>
    <w:rsid w:val="005B7482"/>
    <w:rsid w:val="005B7487"/>
    <w:rsid w:val="005B766E"/>
    <w:rsid w:val="005B76F8"/>
    <w:rsid w:val="005B7A31"/>
    <w:rsid w:val="005B7A4B"/>
    <w:rsid w:val="005B7B5A"/>
    <w:rsid w:val="005B7B84"/>
    <w:rsid w:val="005B7C32"/>
    <w:rsid w:val="005B7E41"/>
    <w:rsid w:val="005B7EB1"/>
    <w:rsid w:val="005B7EBB"/>
    <w:rsid w:val="005B7F7D"/>
    <w:rsid w:val="005B7F85"/>
    <w:rsid w:val="005B7F91"/>
    <w:rsid w:val="005B7FC2"/>
    <w:rsid w:val="005C00A2"/>
    <w:rsid w:val="005C0250"/>
    <w:rsid w:val="005C0259"/>
    <w:rsid w:val="005C025B"/>
    <w:rsid w:val="005C026F"/>
    <w:rsid w:val="005C02A4"/>
    <w:rsid w:val="005C042B"/>
    <w:rsid w:val="005C060E"/>
    <w:rsid w:val="005C0614"/>
    <w:rsid w:val="005C0748"/>
    <w:rsid w:val="005C0779"/>
    <w:rsid w:val="005C080C"/>
    <w:rsid w:val="005C0951"/>
    <w:rsid w:val="005C0967"/>
    <w:rsid w:val="005C09B0"/>
    <w:rsid w:val="005C09D3"/>
    <w:rsid w:val="005C0BA5"/>
    <w:rsid w:val="005C0D84"/>
    <w:rsid w:val="005C0E13"/>
    <w:rsid w:val="005C0F21"/>
    <w:rsid w:val="005C0FFA"/>
    <w:rsid w:val="005C101E"/>
    <w:rsid w:val="005C10F1"/>
    <w:rsid w:val="005C1398"/>
    <w:rsid w:val="005C13EF"/>
    <w:rsid w:val="005C155C"/>
    <w:rsid w:val="005C1593"/>
    <w:rsid w:val="005C166F"/>
    <w:rsid w:val="005C17C1"/>
    <w:rsid w:val="005C1926"/>
    <w:rsid w:val="005C1A77"/>
    <w:rsid w:val="005C1B97"/>
    <w:rsid w:val="005C1C37"/>
    <w:rsid w:val="005C205E"/>
    <w:rsid w:val="005C20CB"/>
    <w:rsid w:val="005C20D2"/>
    <w:rsid w:val="005C20EA"/>
    <w:rsid w:val="005C2144"/>
    <w:rsid w:val="005C2184"/>
    <w:rsid w:val="005C2200"/>
    <w:rsid w:val="005C22D3"/>
    <w:rsid w:val="005C23AB"/>
    <w:rsid w:val="005C2436"/>
    <w:rsid w:val="005C247B"/>
    <w:rsid w:val="005C257A"/>
    <w:rsid w:val="005C25F0"/>
    <w:rsid w:val="005C25FA"/>
    <w:rsid w:val="005C2654"/>
    <w:rsid w:val="005C2714"/>
    <w:rsid w:val="005C2DF1"/>
    <w:rsid w:val="005C2E29"/>
    <w:rsid w:val="005C2E84"/>
    <w:rsid w:val="005C3060"/>
    <w:rsid w:val="005C3100"/>
    <w:rsid w:val="005C3261"/>
    <w:rsid w:val="005C32FE"/>
    <w:rsid w:val="005C33F9"/>
    <w:rsid w:val="005C368A"/>
    <w:rsid w:val="005C39EF"/>
    <w:rsid w:val="005C3A33"/>
    <w:rsid w:val="005C3A34"/>
    <w:rsid w:val="005C3C87"/>
    <w:rsid w:val="005C3EDB"/>
    <w:rsid w:val="005C3F82"/>
    <w:rsid w:val="005C403E"/>
    <w:rsid w:val="005C4077"/>
    <w:rsid w:val="005C4085"/>
    <w:rsid w:val="005C4122"/>
    <w:rsid w:val="005C41A3"/>
    <w:rsid w:val="005C44F7"/>
    <w:rsid w:val="005C46D6"/>
    <w:rsid w:val="005C47FE"/>
    <w:rsid w:val="005C4AF1"/>
    <w:rsid w:val="005C4C2E"/>
    <w:rsid w:val="005C503A"/>
    <w:rsid w:val="005C5076"/>
    <w:rsid w:val="005C507B"/>
    <w:rsid w:val="005C50CC"/>
    <w:rsid w:val="005C5151"/>
    <w:rsid w:val="005C5165"/>
    <w:rsid w:val="005C5342"/>
    <w:rsid w:val="005C5616"/>
    <w:rsid w:val="005C56D0"/>
    <w:rsid w:val="005C56F9"/>
    <w:rsid w:val="005C5761"/>
    <w:rsid w:val="005C581A"/>
    <w:rsid w:val="005C59D8"/>
    <w:rsid w:val="005C5A8C"/>
    <w:rsid w:val="005C5B49"/>
    <w:rsid w:val="005C5BCA"/>
    <w:rsid w:val="005C5BF7"/>
    <w:rsid w:val="005C5C83"/>
    <w:rsid w:val="005C5C85"/>
    <w:rsid w:val="005C5C8C"/>
    <w:rsid w:val="005C5E3D"/>
    <w:rsid w:val="005C5E89"/>
    <w:rsid w:val="005C5E90"/>
    <w:rsid w:val="005C5ECC"/>
    <w:rsid w:val="005C5F6F"/>
    <w:rsid w:val="005C5F82"/>
    <w:rsid w:val="005C6081"/>
    <w:rsid w:val="005C60C1"/>
    <w:rsid w:val="005C619A"/>
    <w:rsid w:val="005C61A2"/>
    <w:rsid w:val="005C620A"/>
    <w:rsid w:val="005C646D"/>
    <w:rsid w:val="005C6524"/>
    <w:rsid w:val="005C6545"/>
    <w:rsid w:val="005C65B0"/>
    <w:rsid w:val="005C6653"/>
    <w:rsid w:val="005C677C"/>
    <w:rsid w:val="005C6908"/>
    <w:rsid w:val="005C69E9"/>
    <w:rsid w:val="005C6C60"/>
    <w:rsid w:val="005C6CFA"/>
    <w:rsid w:val="005C6E2C"/>
    <w:rsid w:val="005C6E60"/>
    <w:rsid w:val="005C6EA0"/>
    <w:rsid w:val="005C6EA3"/>
    <w:rsid w:val="005C6F09"/>
    <w:rsid w:val="005C7086"/>
    <w:rsid w:val="005C70C9"/>
    <w:rsid w:val="005C71CC"/>
    <w:rsid w:val="005C7319"/>
    <w:rsid w:val="005C7454"/>
    <w:rsid w:val="005C7505"/>
    <w:rsid w:val="005C75D7"/>
    <w:rsid w:val="005C75DF"/>
    <w:rsid w:val="005C78A3"/>
    <w:rsid w:val="005C78D6"/>
    <w:rsid w:val="005C798C"/>
    <w:rsid w:val="005C79A8"/>
    <w:rsid w:val="005C7A15"/>
    <w:rsid w:val="005C7A65"/>
    <w:rsid w:val="005C7B93"/>
    <w:rsid w:val="005C7D29"/>
    <w:rsid w:val="005C7DAA"/>
    <w:rsid w:val="005C7E26"/>
    <w:rsid w:val="005C7F88"/>
    <w:rsid w:val="005D00E9"/>
    <w:rsid w:val="005D024A"/>
    <w:rsid w:val="005D030F"/>
    <w:rsid w:val="005D03D9"/>
    <w:rsid w:val="005D04F4"/>
    <w:rsid w:val="005D058F"/>
    <w:rsid w:val="005D0764"/>
    <w:rsid w:val="005D07DF"/>
    <w:rsid w:val="005D082E"/>
    <w:rsid w:val="005D0874"/>
    <w:rsid w:val="005D09FF"/>
    <w:rsid w:val="005D0A54"/>
    <w:rsid w:val="005D0B0C"/>
    <w:rsid w:val="005D0C28"/>
    <w:rsid w:val="005D0EDC"/>
    <w:rsid w:val="005D0FD4"/>
    <w:rsid w:val="005D1035"/>
    <w:rsid w:val="005D11D7"/>
    <w:rsid w:val="005D1384"/>
    <w:rsid w:val="005D1388"/>
    <w:rsid w:val="005D13F0"/>
    <w:rsid w:val="005D167A"/>
    <w:rsid w:val="005D167E"/>
    <w:rsid w:val="005D1717"/>
    <w:rsid w:val="005D1741"/>
    <w:rsid w:val="005D18B7"/>
    <w:rsid w:val="005D1975"/>
    <w:rsid w:val="005D1C42"/>
    <w:rsid w:val="005D1CFD"/>
    <w:rsid w:val="005D1CFE"/>
    <w:rsid w:val="005D1E65"/>
    <w:rsid w:val="005D2042"/>
    <w:rsid w:val="005D20FC"/>
    <w:rsid w:val="005D21EC"/>
    <w:rsid w:val="005D22BE"/>
    <w:rsid w:val="005D2311"/>
    <w:rsid w:val="005D27F9"/>
    <w:rsid w:val="005D2863"/>
    <w:rsid w:val="005D293A"/>
    <w:rsid w:val="005D2A6E"/>
    <w:rsid w:val="005D2B81"/>
    <w:rsid w:val="005D2B9D"/>
    <w:rsid w:val="005D2C23"/>
    <w:rsid w:val="005D2D04"/>
    <w:rsid w:val="005D2DE2"/>
    <w:rsid w:val="005D2F36"/>
    <w:rsid w:val="005D2F45"/>
    <w:rsid w:val="005D2F6A"/>
    <w:rsid w:val="005D3043"/>
    <w:rsid w:val="005D3165"/>
    <w:rsid w:val="005D325B"/>
    <w:rsid w:val="005D3277"/>
    <w:rsid w:val="005D334C"/>
    <w:rsid w:val="005D3585"/>
    <w:rsid w:val="005D3676"/>
    <w:rsid w:val="005D3842"/>
    <w:rsid w:val="005D3858"/>
    <w:rsid w:val="005D38B0"/>
    <w:rsid w:val="005D3A63"/>
    <w:rsid w:val="005D3B31"/>
    <w:rsid w:val="005D3B5F"/>
    <w:rsid w:val="005D3BAA"/>
    <w:rsid w:val="005D3CCE"/>
    <w:rsid w:val="005D3FE2"/>
    <w:rsid w:val="005D4183"/>
    <w:rsid w:val="005D41E9"/>
    <w:rsid w:val="005D42BF"/>
    <w:rsid w:val="005D42F6"/>
    <w:rsid w:val="005D43D5"/>
    <w:rsid w:val="005D43E4"/>
    <w:rsid w:val="005D440C"/>
    <w:rsid w:val="005D460D"/>
    <w:rsid w:val="005D470F"/>
    <w:rsid w:val="005D47B6"/>
    <w:rsid w:val="005D488D"/>
    <w:rsid w:val="005D4A31"/>
    <w:rsid w:val="005D4A90"/>
    <w:rsid w:val="005D4B54"/>
    <w:rsid w:val="005D4D58"/>
    <w:rsid w:val="005D4E53"/>
    <w:rsid w:val="005D4FD4"/>
    <w:rsid w:val="005D5576"/>
    <w:rsid w:val="005D55D4"/>
    <w:rsid w:val="005D5631"/>
    <w:rsid w:val="005D56ED"/>
    <w:rsid w:val="005D5720"/>
    <w:rsid w:val="005D590C"/>
    <w:rsid w:val="005D5945"/>
    <w:rsid w:val="005D59BD"/>
    <w:rsid w:val="005D5B5F"/>
    <w:rsid w:val="005D5BCD"/>
    <w:rsid w:val="005D5C85"/>
    <w:rsid w:val="005D5CBD"/>
    <w:rsid w:val="005D5D32"/>
    <w:rsid w:val="005D5D90"/>
    <w:rsid w:val="005D5E07"/>
    <w:rsid w:val="005D5E19"/>
    <w:rsid w:val="005D5EF6"/>
    <w:rsid w:val="005D617A"/>
    <w:rsid w:val="005D6185"/>
    <w:rsid w:val="005D619E"/>
    <w:rsid w:val="005D61F4"/>
    <w:rsid w:val="005D6200"/>
    <w:rsid w:val="005D6308"/>
    <w:rsid w:val="005D64FF"/>
    <w:rsid w:val="005D663F"/>
    <w:rsid w:val="005D6727"/>
    <w:rsid w:val="005D679A"/>
    <w:rsid w:val="005D6A55"/>
    <w:rsid w:val="005D6A73"/>
    <w:rsid w:val="005D6B98"/>
    <w:rsid w:val="005D6C89"/>
    <w:rsid w:val="005D6CE5"/>
    <w:rsid w:val="005D6D64"/>
    <w:rsid w:val="005D6D8A"/>
    <w:rsid w:val="005D6DC9"/>
    <w:rsid w:val="005D6FAB"/>
    <w:rsid w:val="005D6FB8"/>
    <w:rsid w:val="005D7005"/>
    <w:rsid w:val="005D7119"/>
    <w:rsid w:val="005D72B1"/>
    <w:rsid w:val="005D732F"/>
    <w:rsid w:val="005D736B"/>
    <w:rsid w:val="005D744F"/>
    <w:rsid w:val="005D74F1"/>
    <w:rsid w:val="005D78E4"/>
    <w:rsid w:val="005D7950"/>
    <w:rsid w:val="005D7ADE"/>
    <w:rsid w:val="005D7B35"/>
    <w:rsid w:val="005D7D1D"/>
    <w:rsid w:val="005D7DDE"/>
    <w:rsid w:val="005D7E09"/>
    <w:rsid w:val="005E016C"/>
    <w:rsid w:val="005E0289"/>
    <w:rsid w:val="005E029A"/>
    <w:rsid w:val="005E0389"/>
    <w:rsid w:val="005E0413"/>
    <w:rsid w:val="005E06AD"/>
    <w:rsid w:val="005E072C"/>
    <w:rsid w:val="005E07B6"/>
    <w:rsid w:val="005E07F1"/>
    <w:rsid w:val="005E081D"/>
    <w:rsid w:val="005E0905"/>
    <w:rsid w:val="005E093A"/>
    <w:rsid w:val="005E0A24"/>
    <w:rsid w:val="005E0C72"/>
    <w:rsid w:val="005E0C79"/>
    <w:rsid w:val="005E0F7D"/>
    <w:rsid w:val="005E0F93"/>
    <w:rsid w:val="005E10FE"/>
    <w:rsid w:val="005E1254"/>
    <w:rsid w:val="005E1670"/>
    <w:rsid w:val="005E1678"/>
    <w:rsid w:val="005E171F"/>
    <w:rsid w:val="005E1729"/>
    <w:rsid w:val="005E17D6"/>
    <w:rsid w:val="005E17DC"/>
    <w:rsid w:val="005E186D"/>
    <w:rsid w:val="005E1885"/>
    <w:rsid w:val="005E18EF"/>
    <w:rsid w:val="005E1905"/>
    <w:rsid w:val="005E191F"/>
    <w:rsid w:val="005E1A5E"/>
    <w:rsid w:val="005E1A80"/>
    <w:rsid w:val="005E1B10"/>
    <w:rsid w:val="005E1B31"/>
    <w:rsid w:val="005E1BBF"/>
    <w:rsid w:val="005E1C40"/>
    <w:rsid w:val="005E1DFE"/>
    <w:rsid w:val="005E1E15"/>
    <w:rsid w:val="005E1E7B"/>
    <w:rsid w:val="005E1F25"/>
    <w:rsid w:val="005E2213"/>
    <w:rsid w:val="005E228A"/>
    <w:rsid w:val="005E2371"/>
    <w:rsid w:val="005E24F9"/>
    <w:rsid w:val="005E258F"/>
    <w:rsid w:val="005E26DE"/>
    <w:rsid w:val="005E283F"/>
    <w:rsid w:val="005E287A"/>
    <w:rsid w:val="005E2965"/>
    <w:rsid w:val="005E29F7"/>
    <w:rsid w:val="005E29FB"/>
    <w:rsid w:val="005E2A6D"/>
    <w:rsid w:val="005E2B5D"/>
    <w:rsid w:val="005E2C87"/>
    <w:rsid w:val="005E2D59"/>
    <w:rsid w:val="005E2D6C"/>
    <w:rsid w:val="005E2E96"/>
    <w:rsid w:val="005E2F44"/>
    <w:rsid w:val="005E30A1"/>
    <w:rsid w:val="005E3122"/>
    <w:rsid w:val="005E323E"/>
    <w:rsid w:val="005E32D4"/>
    <w:rsid w:val="005E3452"/>
    <w:rsid w:val="005E3583"/>
    <w:rsid w:val="005E368B"/>
    <w:rsid w:val="005E36F7"/>
    <w:rsid w:val="005E3935"/>
    <w:rsid w:val="005E3975"/>
    <w:rsid w:val="005E3A5E"/>
    <w:rsid w:val="005E3AF3"/>
    <w:rsid w:val="005E3C26"/>
    <w:rsid w:val="005E3C65"/>
    <w:rsid w:val="005E3CAC"/>
    <w:rsid w:val="005E3CE6"/>
    <w:rsid w:val="005E3D41"/>
    <w:rsid w:val="005E3E6E"/>
    <w:rsid w:val="005E3EF9"/>
    <w:rsid w:val="005E4099"/>
    <w:rsid w:val="005E4173"/>
    <w:rsid w:val="005E42BF"/>
    <w:rsid w:val="005E4303"/>
    <w:rsid w:val="005E4475"/>
    <w:rsid w:val="005E447A"/>
    <w:rsid w:val="005E44F8"/>
    <w:rsid w:val="005E4573"/>
    <w:rsid w:val="005E4594"/>
    <w:rsid w:val="005E45CD"/>
    <w:rsid w:val="005E465F"/>
    <w:rsid w:val="005E482D"/>
    <w:rsid w:val="005E49C9"/>
    <w:rsid w:val="005E4A00"/>
    <w:rsid w:val="005E4AB7"/>
    <w:rsid w:val="005E4ACA"/>
    <w:rsid w:val="005E4ACD"/>
    <w:rsid w:val="005E4B44"/>
    <w:rsid w:val="005E4D4D"/>
    <w:rsid w:val="005E4E3F"/>
    <w:rsid w:val="005E4E67"/>
    <w:rsid w:val="005E4EAD"/>
    <w:rsid w:val="005E4FA8"/>
    <w:rsid w:val="005E4FC5"/>
    <w:rsid w:val="005E5010"/>
    <w:rsid w:val="005E507A"/>
    <w:rsid w:val="005E50D2"/>
    <w:rsid w:val="005E5101"/>
    <w:rsid w:val="005E52F3"/>
    <w:rsid w:val="005E533E"/>
    <w:rsid w:val="005E53AD"/>
    <w:rsid w:val="005E568C"/>
    <w:rsid w:val="005E57D1"/>
    <w:rsid w:val="005E59F7"/>
    <w:rsid w:val="005E5A73"/>
    <w:rsid w:val="005E5BBF"/>
    <w:rsid w:val="005E5C53"/>
    <w:rsid w:val="005E5C58"/>
    <w:rsid w:val="005E5CDA"/>
    <w:rsid w:val="005E5F56"/>
    <w:rsid w:val="005E5FAD"/>
    <w:rsid w:val="005E5FD6"/>
    <w:rsid w:val="005E6413"/>
    <w:rsid w:val="005E6550"/>
    <w:rsid w:val="005E6571"/>
    <w:rsid w:val="005E664B"/>
    <w:rsid w:val="005E678D"/>
    <w:rsid w:val="005E68C2"/>
    <w:rsid w:val="005E6962"/>
    <w:rsid w:val="005E6A19"/>
    <w:rsid w:val="005E6B1B"/>
    <w:rsid w:val="005E6BA2"/>
    <w:rsid w:val="005E6BF3"/>
    <w:rsid w:val="005E6CB2"/>
    <w:rsid w:val="005E6D17"/>
    <w:rsid w:val="005E6D86"/>
    <w:rsid w:val="005E6F0A"/>
    <w:rsid w:val="005E6F3C"/>
    <w:rsid w:val="005E6FED"/>
    <w:rsid w:val="005E7069"/>
    <w:rsid w:val="005E706F"/>
    <w:rsid w:val="005E7141"/>
    <w:rsid w:val="005E71D9"/>
    <w:rsid w:val="005E734F"/>
    <w:rsid w:val="005E7569"/>
    <w:rsid w:val="005E771E"/>
    <w:rsid w:val="005E7A7C"/>
    <w:rsid w:val="005E7AC3"/>
    <w:rsid w:val="005E7BF1"/>
    <w:rsid w:val="005E7CE3"/>
    <w:rsid w:val="005E7DA1"/>
    <w:rsid w:val="005E7DD8"/>
    <w:rsid w:val="005E7F70"/>
    <w:rsid w:val="005E7F97"/>
    <w:rsid w:val="005F0030"/>
    <w:rsid w:val="005F03C5"/>
    <w:rsid w:val="005F04B5"/>
    <w:rsid w:val="005F04DC"/>
    <w:rsid w:val="005F0623"/>
    <w:rsid w:val="005F0682"/>
    <w:rsid w:val="005F06C1"/>
    <w:rsid w:val="005F07EF"/>
    <w:rsid w:val="005F08B2"/>
    <w:rsid w:val="005F08F9"/>
    <w:rsid w:val="005F09A4"/>
    <w:rsid w:val="005F09C7"/>
    <w:rsid w:val="005F09FC"/>
    <w:rsid w:val="005F0A8D"/>
    <w:rsid w:val="005F0BE9"/>
    <w:rsid w:val="005F0C37"/>
    <w:rsid w:val="005F0D21"/>
    <w:rsid w:val="005F0DBD"/>
    <w:rsid w:val="005F0DF1"/>
    <w:rsid w:val="005F0E20"/>
    <w:rsid w:val="005F0F2C"/>
    <w:rsid w:val="005F0F60"/>
    <w:rsid w:val="005F101F"/>
    <w:rsid w:val="005F1099"/>
    <w:rsid w:val="005F10D6"/>
    <w:rsid w:val="005F1124"/>
    <w:rsid w:val="005F11AE"/>
    <w:rsid w:val="005F11D2"/>
    <w:rsid w:val="005F125A"/>
    <w:rsid w:val="005F12D7"/>
    <w:rsid w:val="005F1535"/>
    <w:rsid w:val="005F15E5"/>
    <w:rsid w:val="005F162F"/>
    <w:rsid w:val="005F166F"/>
    <w:rsid w:val="005F170B"/>
    <w:rsid w:val="005F1874"/>
    <w:rsid w:val="005F188A"/>
    <w:rsid w:val="005F1935"/>
    <w:rsid w:val="005F19B0"/>
    <w:rsid w:val="005F1D36"/>
    <w:rsid w:val="005F1D85"/>
    <w:rsid w:val="005F1DE9"/>
    <w:rsid w:val="005F1E6D"/>
    <w:rsid w:val="005F208F"/>
    <w:rsid w:val="005F20CE"/>
    <w:rsid w:val="005F2120"/>
    <w:rsid w:val="005F21D1"/>
    <w:rsid w:val="005F220D"/>
    <w:rsid w:val="005F24AF"/>
    <w:rsid w:val="005F2585"/>
    <w:rsid w:val="005F2628"/>
    <w:rsid w:val="005F265F"/>
    <w:rsid w:val="005F26A9"/>
    <w:rsid w:val="005F29C0"/>
    <w:rsid w:val="005F2A37"/>
    <w:rsid w:val="005F2BAC"/>
    <w:rsid w:val="005F2CDE"/>
    <w:rsid w:val="005F2DF5"/>
    <w:rsid w:val="005F2E19"/>
    <w:rsid w:val="005F2E8A"/>
    <w:rsid w:val="005F2FE8"/>
    <w:rsid w:val="005F30E1"/>
    <w:rsid w:val="005F3100"/>
    <w:rsid w:val="005F32C8"/>
    <w:rsid w:val="005F3573"/>
    <w:rsid w:val="005F37A9"/>
    <w:rsid w:val="005F3831"/>
    <w:rsid w:val="005F3918"/>
    <w:rsid w:val="005F3A92"/>
    <w:rsid w:val="005F3B9E"/>
    <w:rsid w:val="005F3C05"/>
    <w:rsid w:val="005F3E1B"/>
    <w:rsid w:val="005F3EF9"/>
    <w:rsid w:val="005F4045"/>
    <w:rsid w:val="005F4251"/>
    <w:rsid w:val="005F42A5"/>
    <w:rsid w:val="005F42C3"/>
    <w:rsid w:val="005F4362"/>
    <w:rsid w:val="005F4371"/>
    <w:rsid w:val="005F4500"/>
    <w:rsid w:val="005F46E8"/>
    <w:rsid w:val="005F4742"/>
    <w:rsid w:val="005F488A"/>
    <w:rsid w:val="005F49D7"/>
    <w:rsid w:val="005F4A55"/>
    <w:rsid w:val="005F4BCC"/>
    <w:rsid w:val="005F4BEA"/>
    <w:rsid w:val="005F4C06"/>
    <w:rsid w:val="005F4CDA"/>
    <w:rsid w:val="005F4EB5"/>
    <w:rsid w:val="005F4EF3"/>
    <w:rsid w:val="005F502F"/>
    <w:rsid w:val="005F504F"/>
    <w:rsid w:val="005F525A"/>
    <w:rsid w:val="005F52A7"/>
    <w:rsid w:val="005F52EF"/>
    <w:rsid w:val="005F53F2"/>
    <w:rsid w:val="005F55C4"/>
    <w:rsid w:val="005F57FC"/>
    <w:rsid w:val="005F5858"/>
    <w:rsid w:val="005F587B"/>
    <w:rsid w:val="005F58AB"/>
    <w:rsid w:val="005F5993"/>
    <w:rsid w:val="005F59E3"/>
    <w:rsid w:val="005F5A16"/>
    <w:rsid w:val="005F5D51"/>
    <w:rsid w:val="005F5D57"/>
    <w:rsid w:val="005F5D86"/>
    <w:rsid w:val="005F5EE4"/>
    <w:rsid w:val="005F612D"/>
    <w:rsid w:val="005F62AD"/>
    <w:rsid w:val="005F62E2"/>
    <w:rsid w:val="005F6569"/>
    <w:rsid w:val="005F6873"/>
    <w:rsid w:val="005F68DC"/>
    <w:rsid w:val="005F6941"/>
    <w:rsid w:val="005F6A1F"/>
    <w:rsid w:val="005F6A2C"/>
    <w:rsid w:val="005F6A50"/>
    <w:rsid w:val="005F6B92"/>
    <w:rsid w:val="005F6C10"/>
    <w:rsid w:val="005F6D29"/>
    <w:rsid w:val="005F6E7C"/>
    <w:rsid w:val="005F6F09"/>
    <w:rsid w:val="005F6F17"/>
    <w:rsid w:val="005F6F65"/>
    <w:rsid w:val="005F723A"/>
    <w:rsid w:val="005F72A0"/>
    <w:rsid w:val="005F7338"/>
    <w:rsid w:val="005F7385"/>
    <w:rsid w:val="005F748E"/>
    <w:rsid w:val="005F7496"/>
    <w:rsid w:val="005F74CA"/>
    <w:rsid w:val="005F75B4"/>
    <w:rsid w:val="005F78A7"/>
    <w:rsid w:val="005F79B4"/>
    <w:rsid w:val="005F7A8A"/>
    <w:rsid w:val="005F7BC7"/>
    <w:rsid w:val="005F7CE5"/>
    <w:rsid w:val="00600091"/>
    <w:rsid w:val="006000C9"/>
    <w:rsid w:val="006001AD"/>
    <w:rsid w:val="0060023C"/>
    <w:rsid w:val="0060040C"/>
    <w:rsid w:val="00600434"/>
    <w:rsid w:val="0060086C"/>
    <w:rsid w:val="006009AC"/>
    <w:rsid w:val="00600DB7"/>
    <w:rsid w:val="00600DE3"/>
    <w:rsid w:val="00601054"/>
    <w:rsid w:val="006011FC"/>
    <w:rsid w:val="006013D4"/>
    <w:rsid w:val="0060144B"/>
    <w:rsid w:val="00601525"/>
    <w:rsid w:val="00601650"/>
    <w:rsid w:val="006016E0"/>
    <w:rsid w:val="00601766"/>
    <w:rsid w:val="00601966"/>
    <w:rsid w:val="006019AF"/>
    <w:rsid w:val="00601A49"/>
    <w:rsid w:val="00601D37"/>
    <w:rsid w:val="00601DC6"/>
    <w:rsid w:val="00601FE9"/>
    <w:rsid w:val="00602004"/>
    <w:rsid w:val="00602021"/>
    <w:rsid w:val="006021A8"/>
    <w:rsid w:val="006021D7"/>
    <w:rsid w:val="00602263"/>
    <w:rsid w:val="006023B4"/>
    <w:rsid w:val="0060242B"/>
    <w:rsid w:val="006025C6"/>
    <w:rsid w:val="00602688"/>
    <w:rsid w:val="00602743"/>
    <w:rsid w:val="00602760"/>
    <w:rsid w:val="006027BC"/>
    <w:rsid w:val="00602A63"/>
    <w:rsid w:val="00602A82"/>
    <w:rsid w:val="00602BAB"/>
    <w:rsid w:val="00602D05"/>
    <w:rsid w:val="00602DED"/>
    <w:rsid w:val="00602E1F"/>
    <w:rsid w:val="00602F5A"/>
    <w:rsid w:val="00602FC5"/>
    <w:rsid w:val="006030C8"/>
    <w:rsid w:val="006030DE"/>
    <w:rsid w:val="006030FC"/>
    <w:rsid w:val="00603286"/>
    <w:rsid w:val="006032C2"/>
    <w:rsid w:val="006032C9"/>
    <w:rsid w:val="0060333E"/>
    <w:rsid w:val="00603577"/>
    <w:rsid w:val="0060357B"/>
    <w:rsid w:val="006035A9"/>
    <w:rsid w:val="006037C1"/>
    <w:rsid w:val="0060382C"/>
    <w:rsid w:val="00603950"/>
    <w:rsid w:val="00603A8B"/>
    <w:rsid w:val="00603A92"/>
    <w:rsid w:val="00603AEC"/>
    <w:rsid w:val="00603C26"/>
    <w:rsid w:val="00603DD2"/>
    <w:rsid w:val="00603DD6"/>
    <w:rsid w:val="00603E2C"/>
    <w:rsid w:val="00603EBF"/>
    <w:rsid w:val="00603EE8"/>
    <w:rsid w:val="00603FF7"/>
    <w:rsid w:val="006040E6"/>
    <w:rsid w:val="00604169"/>
    <w:rsid w:val="00604498"/>
    <w:rsid w:val="0060456F"/>
    <w:rsid w:val="006046BB"/>
    <w:rsid w:val="00604719"/>
    <w:rsid w:val="00604733"/>
    <w:rsid w:val="00604906"/>
    <w:rsid w:val="00604917"/>
    <w:rsid w:val="00604B34"/>
    <w:rsid w:val="00604C89"/>
    <w:rsid w:val="00604D6A"/>
    <w:rsid w:val="00604EEF"/>
    <w:rsid w:val="00604F6C"/>
    <w:rsid w:val="00604FC9"/>
    <w:rsid w:val="00605012"/>
    <w:rsid w:val="0060519D"/>
    <w:rsid w:val="0060542D"/>
    <w:rsid w:val="00605453"/>
    <w:rsid w:val="006054EF"/>
    <w:rsid w:val="0060557B"/>
    <w:rsid w:val="0060560F"/>
    <w:rsid w:val="006057CC"/>
    <w:rsid w:val="006057DD"/>
    <w:rsid w:val="006058E9"/>
    <w:rsid w:val="00605935"/>
    <w:rsid w:val="00605A54"/>
    <w:rsid w:val="00605A59"/>
    <w:rsid w:val="00605AD5"/>
    <w:rsid w:val="00605AEF"/>
    <w:rsid w:val="00605AFD"/>
    <w:rsid w:val="00605BE6"/>
    <w:rsid w:val="00605C13"/>
    <w:rsid w:val="00605DA6"/>
    <w:rsid w:val="00605DCB"/>
    <w:rsid w:val="00605F4C"/>
    <w:rsid w:val="00606293"/>
    <w:rsid w:val="006063DD"/>
    <w:rsid w:val="0060644F"/>
    <w:rsid w:val="00606460"/>
    <w:rsid w:val="006064C6"/>
    <w:rsid w:val="006064EE"/>
    <w:rsid w:val="0060657B"/>
    <w:rsid w:val="00606635"/>
    <w:rsid w:val="0060677E"/>
    <w:rsid w:val="006067B9"/>
    <w:rsid w:val="0060683C"/>
    <w:rsid w:val="00606857"/>
    <w:rsid w:val="006068AA"/>
    <w:rsid w:val="00606952"/>
    <w:rsid w:val="00606AD6"/>
    <w:rsid w:val="00606B09"/>
    <w:rsid w:val="00606D3F"/>
    <w:rsid w:val="00606D98"/>
    <w:rsid w:val="00606E22"/>
    <w:rsid w:val="00606ECF"/>
    <w:rsid w:val="00606F70"/>
    <w:rsid w:val="0060707C"/>
    <w:rsid w:val="006070C7"/>
    <w:rsid w:val="006072C4"/>
    <w:rsid w:val="006072DE"/>
    <w:rsid w:val="00607425"/>
    <w:rsid w:val="006074FC"/>
    <w:rsid w:val="006077D9"/>
    <w:rsid w:val="00607B65"/>
    <w:rsid w:val="00607BF0"/>
    <w:rsid w:val="00607EA4"/>
    <w:rsid w:val="00607F1D"/>
    <w:rsid w:val="00607FA9"/>
    <w:rsid w:val="006100B3"/>
    <w:rsid w:val="0061012E"/>
    <w:rsid w:val="00610150"/>
    <w:rsid w:val="006103CC"/>
    <w:rsid w:val="00610466"/>
    <w:rsid w:val="006104F8"/>
    <w:rsid w:val="006104FF"/>
    <w:rsid w:val="006105B3"/>
    <w:rsid w:val="00610A38"/>
    <w:rsid w:val="00610B39"/>
    <w:rsid w:val="00610C4C"/>
    <w:rsid w:val="00610CC8"/>
    <w:rsid w:val="00610CD2"/>
    <w:rsid w:val="00610E23"/>
    <w:rsid w:val="00610E43"/>
    <w:rsid w:val="00610F07"/>
    <w:rsid w:val="00611028"/>
    <w:rsid w:val="00611187"/>
    <w:rsid w:val="006114FE"/>
    <w:rsid w:val="00611538"/>
    <w:rsid w:val="0061153E"/>
    <w:rsid w:val="0061158A"/>
    <w:rsid w:val="0061158D"/>
    <w:rsid w:val="006116BF"/>
    <w:rsid w:val="0061176E"/>
    <w:rsid w:val="00611AB4"/>
    <w:rsid w:val="00611BD3"/>
    <w:rsid w:val="00611CAD"/>
    <w:rsid w:val="00611DEB"/>
    <w:rsid w:val="00611F58"/>
    <w:rsid w:val="006120A6"/>
    <w:rsid w:val="006120E6"/>
    <w:rsid w:val="006123D4"/>
    <w:rsid w:val="00612471"/>
    <w:rsid w:val="006124E8"/>
    <w:rsid w:val="00612617"/>
    <w:rsid w:val="006127E0"/>
    <w:rsid w:val="00612910"/>
    <w:rsid w:val="006129F2"/>
    <w:rsid w:val="00612A5E"/>
    <w:rsid w:val="00612BCB"/>
    <w:rsid w:val="00612BF3"/>
    <w:rsid w:val="00612C47"/>
    <w:rsid w:val="00612D5F"/>
    <w:rsid w:val="00612E7A"/>
    <w:rsid w:val="00612F8B"/>
    <w:rsid w:val="00612FA1"/>
    <w:rsid w:val="00612FF0"/>
    <w:rsid w:val="006130B0"/>
    <w:rsid w:val="0061311F"/>
    <w:rsid w:val="006131B1"/>
    <w:rsid w:val="006131DB"/>
    <w:rsid w:val="00613340"/>
    <w:rsid w:val="00613357"/>
    <w:rsid w:val="00613385"/>
    <w:rsid w:val="006134A0"/>
    <w:rsid w:val="006134CC"/>
    <w:rsid w:val="00613517"/>
    <w:rsid w:val="00613589"/>
    <w:rsid w:val="006135D2"/>
    <w:rsid w:val="006135EC"/>
    <w:rsid w:val="00613623"/>
    <w:rsid w:val="0061373D"/>
    <w:rsid w:val="00613759"/>
    <w:rsid w:val="00613AC4"/>
    <w:rsid w:val="00613B09"/>
    <w:rsid w:val="00613B9B"/>
    <w:rsid w:val="00613BA3"/>
    <w:rsid w:val="00613C61"/>
    <w:rsid w:val="00613C71"/>
    <w:rsid w:val="00613CD2"/>
    <w:rsid w:val="00613D58"/>
    <w:rsid w:val="00613DF7"/>
    <w:rsid w:val="00613EA6"/>
    <w:rsid w:val="00613FB6"/>
    <w:rsid w:val="00613FD2"/>
    <w:rsid w:val="0061403E"/>
    <w:rsid w:val="00614075"/>
    <w:rsid w:val="00614155"/>
    <w:rsid w:val="00614229"/>
    <w:rsid w:val="00614371"/>
    <w:rsid w:val="00614398"/>
    <w:rsid w:val="0061445B"/>
    <w:rsid w:val="006144C7"/>
    <w:rsid w:val="00614562"/>
    <w:rsid w:val="006147F6"/>
    <w:rsid w:val="006148E4"/>
    <w:rsid w:val="00614B61"/>
    <w:rsid w:val="00614D20"/>
    <w:rsid w:val="00614D67"/>
    <w:rsid w:val="00614EDD"/>
    <w:rsid w:val="00614F11"/>
    <w:rsid w:val="00615113"/>
    <w:rsid w:val="0061514C"/>
    <w:rsid w:val="006152AE"/>
    <w:rsid w:val="0061530E"/>
    <w:rsid w:val="0061531A"/>
    <w:rsid w:val="006154F9"/>
    <w:rsid w:val="006154FE"/>
    <w:rsid w:val="006155F2"/>
    <w:rsid w:val="0061569B"/>
    <w:rsid w:val="00615930"/>
    <w:rsid w:val="0061598D"/>
    <w:rsid w:val="00615AD0"/>
    <w:rsid w:val="00615B14"/>
    <w:rsid w:val="00615B47"/>
    <w:rsid w:val="00615C5C"/>
    <w:rsid w:val="00615C66"/>
    <w:rsid w:val="00615CF7"/>
    <w:rsid w:val="00615E2E"/>
    <w:rsid w:val="00615F1F"/>
    <w:rsid w:val="00615FF7"/>
    <w:rsid w:val="00616073"/>
    <w:rsid w:val="00616183"/>
    <w:rsid w:val="006161D7"/>
    <w:rsid w:val="006162E9"/>
    <w:rsid w:val="006163DA"/>
    <w:rsid w:val="006164AB"/>
    <w:rsid w:val="006166B4"/>
    <w:rsid w:val="006166EA"/>
    <w:rsid w:val="0061676E"/>
    <w:rsid w:val="00616793"/>
    <w:rsid w:val="006167F8"/>
    <w:rsid w:val="0061683F"/>
    <w:rsid w:val="00616951"/>
    <w:rsid w:val="00616A2E"/>
    <w:rsid w:val="00616B1C"/>
    <w:rsid w:val="00616CBA"/>
    <w:rsid w:val="00616F21"/>
    <w:rsid w:val="00616FDA"/>
    <w:rsid w:val="00617324"/>
    <w:rsid w:val="0061732A"/>
    <w:rsid w:val="00617340"/>
    <w:rsid w:val="006173C5"/>
    <w:rsid w:val="00617428"/>
    <w:rsid w:val="00617444"/>
    <w:rsid w:val="0061749E"/>
    <w:rsid w:val="006174DD"/>
    <w:rsid w:val="00617538"/>
    <w:rsid w:val="0061755F"/>
    <w:rsid w:val="0061756C"/>
    <w:rsid w:val="0061759F"/>
    <w:rsid w:val="00617657"/>
    <w:rsid w:val="0061772E"/>
    <w:rsid w:val="006177A8"/>
    <w:rsid w:val="006177CC"/>
    <w:rsid w:val="006177F1"/>
    <w:rsid w:val="0061797D"/>
    <w:rsid w:val="006179F3"/>
    <w:rsid w:val="00617B00"/>
    <w:rsid w:val="00617B80"/>
    <w:rsid w:val="00617BEB"/>
    <w:rsid w:val="00617BFC"/>
    <w:rsid w:val="00617D31"/>
    <w:rsid w:val="00617E2A"/>
    <w:rsid w:val="00617EAE"/>
    <w:rsid w:val="00617ED7"/>
    <w:rsid w:val="00617FA5"/>
    <w:rsid w:val="00620115"/>
    <w:rsid w:val="00620125"/>
    <w:rsid w:val="006201FD"/>
    <w:rsid w:val="00620372"/>
    <w:rsid w:val="00620576"/>
    <w:rsid w:val="006205FE"/>
    <w:rsid w:val="00620706"/>
    <w:rsid w:val="006207AB"/>
    <w:rsid w:val="006208C6"/>
    <w:rsid w:val="006208FB"/>
    <w:rsid w:val="00620AE3"/>
    <w:rsid w:val="00620AEF"/>
    <w:rsid w:val="00620B4D"/>
    <w:rsid w:val="00620BF2"/>
    <w:rsid w:val="00620E32"/>
    <w:rsid w:val="00620F04"/>
    <w:rsid w:val="00620FDF"/>
    <w:rsid w:val="0062104F"/>
    <w:rsid w:val="006211A1"/>
    <w:rsid w:val="00621240"/>
    <w:rsid w:val="00621278"/>
    <w:rsid w:val="006212F7"/>
    <w:rsid w:val="006214D4"/>
    <w:rsid w:val="0062177D"/>
    <w:rsid w:val="006217C9"/>
    <w:rsid w:val="006218B4"/>
    <w:rsid w:val="006218CB"/>
    <w:rsid w:val="0062191C"/>
    <w:rsid w:val="00621950"/>
    <w:rsid w:val="00621A01"/>
    <w:rsid w:val="00621AB2"/>
    <w:rsid w:val="00621B56"/>
    <w:rsid w:val="00621BFB"/>
    <w:rsid w:val="00621D4F"/>
    <w:rsid w:val="00621E27"/>
    <w:rsid w:val="00621E4C"/>
    <w:rsid w:val="00621EE2"/>
    <w:rsid w:val="00621F77"/>
    <w:rsid w:val="00621FB8"/>
    <w:rsid w:val="00621FDD"/>
    <w:rsid w:val="0062216A"/>
    <w:rsid w:val="006221E5"/>
    <w:rsid w:val="0062237D"/>
    <w:rsid w:val="006224E2"/>
    <w:rsid w:val="006224E4"/>
    <w:rsid w:val="00622626"/>
    <w:rsid w:val="0062265C"/>
    <w:rsid w:val="006228AE"/>
    <w:rsid w:val="00622AE7"/>
    <w:rsid w:val="00622B3E"/>
    <w:rsid w:val="00622C8D"/>
    <w:rsid w:val="00622CB8"/>
    <w:rsid w:val="00622D9F"/>
    <w:rsid w:val="00622E5E"/>
    <w:rsid w:val="00622EB1"/>
    <w:rsid w:val="00622F35"/>
    <w:rsid w:val="006230B1"/>
    <w:rsid w:val="006232F7"/>
    <w:rsid w:val="00623429"/>
    <w:rsid w:val="006234FC"/>
    <w:rsid w:val="00623525"/>
    <w:rsid w:val="00623599"/>
    <w:rsid w:val="006235B4"/>
    <w:rsid w:val="0062365C"/>
    <w:rsid w:val="0062373B"/>
    <w:rsid w:val="00623781"/>
    <w:rsid w:val="0062383C"/>
    <w:rsid w:val="006238C6"/>
    <w:rsid w:val="006238E4"/>
    <w:rsid w:val="0062391A"/>
    <w:rsid w:val="00623A42"/>
    <w:rsid w:val="00623A51"/>
    <w:rsid w:val="00623AAE"/>
    <w:rsid w:val="00623B24"/>
    <w:rsid w:val="00623BAB"/>
    <w:rsid w:val="00623BC4"/>
    <w:rsid w:val="00623C19"/>
    <w:rsid w:val="00623C20"/>
    <w:rsid w:val="00623D98"/>
    <w:rsid w:val="0062402B"/>
    <w:rsid w:val="0062404B"/>
    <w:rsid w:val="006241AC"/>
    <w:rsid w:val="0062424F"/>
    <w:rsid w:val="006244AC"/>
    <w:rsid w:val="00624635"/>
    <w:rsid w:val="0062486F"/>
    <w:rsid w:val="00624A63"/>
    <w:rsid w:val="00624A79"/>
    <w:rsid w:val="00624B2F"/>
    <w:rsid w:val="00624B83"/>
    <w:rsid w:val="00624C0D"/>
    <w:rsid w:val="00624C4B"/>
    <w:rsid w:val="00624E21"/>
    <w:rsid w:val="00624F51"/>
    <w:rsid w:val="0062508E"/>
    <w:rsid w:val="006250F3"/>
    <w:rsid w:val="0062521E"/>
    <w:rsid w:val="00625262"/>
    <w:rsid w:val="00625290"/>
    <w:rsid w:val="00625419"/>
    <w:rsid w:val="00625536"/>
    <w:rsid w:val="00625717"/>
    <w:rsid w:val="00625736"/>
    <w:rsid w:val="00625832"/>
    <w:rsid w:val="0062593E"/>
    <w:rsid w:val="0062599F"/>
    <w:rsid w:val="00625B11"/>
    <w:rsid w:val="00625B4A"/>
    <w:rsid w:val="00625B54"/>
    <w:rsid w:val="00625BFF"/>
    <w:rsid w:val="00625D17"/>
    <w:rsid w:val="00625D38"/>
    <w:rsid w:val="00625D5E"/>
    <w:rsid w:val="00625EA7"/>
    <w:rsid w:val="00625F68"/>
    <w:rsid w:val="00626068"/>
    <w:rsid w:val="006260BB"/>
    <w:rsid w:val="0062617D"/>
    <w:rsid w:val="00626294"/>
    <w:rsid w:val="0062642D"/>
    <w:rsid w:val="0062644E"/>
    <w:rsid w:val="00626460"/>
    <w:rsid w:val="006265D5"/>
    <w:rsid w:val="006265FC"/>
    <w:rsid w:val="006266CA"/>
    <w:rsid w:val="00626786"/>
    <w:rsid w:val="006267A2"/>
    <w:rsid w:val="006268CF"/>
    <w:rsid w:val="00626B76"/>
    <w:rsid w:val="00626DF3"/>
    <w:rsid w:val="00626FFF"/>
    <w:rsid w:val="00627073"/>
    <w:rsid w:val="006270CA"/>
    <w:rsid w:val="00627128"/>
    <w:rsid w:val="006271E2"/>
    <w:rsid w:val="00627303"/>
    <w:rsid w:val="0062760B"/>
    <w:rsid w:val="006276CD"/>
    <w:rsid w:val="00627723"/>
    <w:rsid w:val="0062781E"/>
    <w:rsid w:val="006279F6"/>
    <w:rsid w:val="00627A73"/>
    <w:rsid w:val="00627B08"/>
    <w:rsid w:val="00627B58"/>
    <w:rsid w:val="00627E30"/>
    <w:rsid w:val="00627E57"/>
    <w:rsid w:val="00627F22"/>
    <w:rsid w:val="00627F70"/>
    <w:rsid w:val="00627F84"/>
    <w:rsid w:val="00627F96"/>
    <w:rsid w:val="00627FA5"/>
    <w:rsid w:val="00630091"/>
    <w:rsid w:val="006300A9"/>
    <w:rsid w:val="00630157"/>
    <w:rsid w:val="006301EC"/>
    <w:rsid w:val="006301EF"/>
    <w:rsid w:val="00630322"/>
    <w:rsid w:val="00630323"/>
    <w:rsid w:val="006303EF"/>
    <w:rsid w:val="006304DD"/>
    <w:rsid w:val="00630522"/>
    <w:rsid w:val="0063070C"/>
    <w:rsid w:val="00630883"/>
    <w:rsid w:val="00630981"/>
    <w:rsid w:val="006309A6"/>
    <w:rsid w:val="00630ACF"/>
    <w:rsid w:val="00630B09"/>
    <w:rsid w:val="00630B21"/>
    <w:rsid w:val="00630B72"/>
    <w:rsid w:val="00630D6A"/>
    <w:rsid w:val="00630F78"/>
    <w:rsid w:val="00630FEE"/>
    <w:rsid w:val="00631064"/>
    <w:rsid w:val="0063119C"/>
    <w:rsid w:val="006311F1"/>
    <w:rsid w:val="00631355"/>
    <w:rsid w:val="00631659"/>
    <w:rsid w:val="00631762"/>
    <w:rsid w:val="00631823"/>
    <w:rsid w:val="00631982"/>
    <w:rsid w:val="006319B8"/>
    <w:rsid w:val="006319BF"/>
    <w:rsid w:val="00631A0A"/>
    <w:rsid w:val="00631A85"/>
    <w:rsid w:val="00632018"/>
    <w:rsid w:val="0063213A"/>
    <w:rsid w:val="006323F3"/>
    <w:rsid w:val="00632600"/>
    <w:rsid w:val="0063264A"/>
    <w:rsid w:val="006326B2"/>
    <w:rsid w:val="00632868"/>
    <w:rsid w:val="006328D6"/>
    <w:rsid w:val="006328FE"/>
    <w:rsid w:val="0063294E"/>
    <w:rsid w:val="006329BF"/>
    <w:rsid w:val="00632A6A"/>
    <w:rsid w:val="00632B88"/>
    <w:rsid w:val="00632B8B"/>
    <w:rsid w:val="00632CEA"/>
    <w:rsid w:val="00632D92"/>
    <w:rsid w:val="00632DB8"/>
    <w:rsid w:val="00632DE5"/>
    <w:rsid w:val="00632F36"/>
    <w:rsid w:val="00632F73"/>
    <w:rsid w:val="00632FA0"/>
    <w:rsid w:val="00632FFC"/>
    <w:rsid w:val="006330AD"/>
    <w:rsid w:val="006330BE"/>
    <w:rsid w:val="00633154"/>
    <w:rsid w:val="00633547"/>
    <w:rsid w:val="0063357F"/>
    <w:rsid w:val="0063359B"/>
    <w:rsid w:val="006336C4"/>
    <w:rsid w:val="006336D7"/>
    <w:rsid w:val="00633724"/>
    <w:rsid w:val="00633769"/>
    <w:rsid w:val="0063399E"/>
    <w:rsid w:val="00633B8F"/>
    <w:rsid w:val="00633BE6"/>
    <w:rsid w:val="00633ED5"/>
    <w:rsid w:val="00634028"/>
    <w:rsid w:val="00634034"/>
    <w:rsid w:val="006340E3"/>
    <w:rsid w:val="00634133"/>
    <w:rsid w:val="006341E1"/>
    <w:rsid w:val="006342A1"/>
    <w:rsid w:val="006342C7"/>
    <w:rsid w:val="0063443B"/>
    <w:rsid w:val="00634529"/>
    <w:rsid w:val="00634649"/>
    <w:rsid w:val="00634697"/>
    <w:rsid w:val="006346E6"/>
    <w:rsid w:val="00634971"/>
    <w:rsid w:val="00634ABB"/>
    <w:rsid w:val="00634AD0"/>
    <w:rsid w:val="00634B12"/>
    <w:rsid w:val="00634BCA"/>
    <w:rsid w:val="00634CD9"/>
    <w:rsid w:val="00634CFD"/>
    <w:rsid w:val="00634D92"/>
    <w:rsid w:val="00634EA1"/>
    <w:rsid w:val="00634FB7"/>
    <w:rsid w:val="00635048"/>
    <w:rsid w:val="006351E3"/>
    <w:rsid w:val="00635238"/>
    <w:rsid w:val="006352D5"/>
    <w:rsid w:val="006355DF"/>
    <w:rsid w:val="006355E3"/>
    <w:rsid w:val="006359CC"/>
    <w:rsid w:val="00635A5D"/>
    <w:rsid w:val="00635C5E"/>
    <w:rsid w:val="00635D0D"/>
    <w:rsid w:val="00635F9E"/>
    <w:rsid w:val="00636017"/>
    <w:rsid w:val="00636035"/>
    <w:rsid w:val="0063622F"/>
    <w:rsid w:val="006362E5"/>
    <w:rsid w:val="006362F9"/>
    <w:rsid w:val="00636374"/>
    <w:rsid w:val="0063652D"/>
    <w:rsid w:val="00636661"/>
    <w:rsid w:val="006366CA"/>
    <w:rsid w:val="00636703"/>
    <w:rsid w:val="0063680B"/>
    <w:rsid w:val="00636C65"/>
    <w:rsid w:val="00636C90"/>
    <w:rsid w:val="00636E81"/>
    <w:rsid w:val="00636E99"/>
    <w:rsid w:val="00636F68"/>
    <w:rsid w:val="00636FD1"/>
    <w:rsid w:val="006370B8"/>
    <w:rsid w:val="00637129"/>
    <w:rsid w:val="00637144"/>
    <w:rsid w:val="0063724F"/>
    <w:rsid w:val="006372CF"/>
    <w:rsid w:val="006374D3"/>
    <w:rsid w:val="006375F7"/>
    <w:rsid w:val="00637647"/>
    <w:rsid w:val="006377DE"/>
    <w:rsid w:val="006377FF"/>
    <w:rsid w:val="00637827"/>
    <w:rsid w:val="006378F0"/>
    <w:rsid w:val="006378F2"/>
    <w:rsid w:val="0063794F"/>
    <w:rsid w:val="00637AE3"/>
    <w:rsid w:val="00637B9B"/>
    <w:rsid w:val="00637BFE"/>
    <w:rsid w:val="00637C83"/>
    <w:rsid w:val="00637D62"/>
    <w:rsid w:val="00637D6C"/>
    <w:rsid w:val="00637D78"/>
    <w:rsid w:val="00637D9C"/>
    <w:rsid w:val="00637DFC"/>
    <w:rsid w:val="00637E82"/>
    <w:rsid w:val="00637F23"/>
    <w:rsid w:val="00640010"/>
    <w:rsid w:val="006400DB"/>
    <w:rsid w:val="00640113"/>
    <w:rsid w:val="00640298"/>
    <w:rsid w:val="0064043E"/>
    <w:rsid w:val="00640464"/>
    <w:rsid w:val="00640506"/>
    <w:rsid w:val="006405E2"/>
    <w:rsid w:val="0064061E"/>
    <w:rsid w:val="00640698"/>
    <w:rsid w:val="00640733"/>
    <w:rsid w:val="00640784"/>
    <w:rsid w:val="006408BE"/>
    <w:rsid w:val="00640A64"/>
    <w:rsid w:val="00640B20"/>
    <w:rsid w:val="00640E33"/>
    <w:rsid w:val="00641029"/>
    <w:rsid w:val="006412EB"/>
    <w:rsid w:val="006413D5"/>
    <w:rsid w:val="00641427"/>
    <w:rsid w:val="006415E6"/>
    <w:rsid w:val="00641669"/>
    <w:rsid w:val="0064196A"/>
    <w:rsid w:val="00641A42"/>
    <w:rsid w:val="00641B3F"/>
    <w:rsid w:val="00641C80"/>
    <w:rsid w:val="00641D08"/>
    <w:rsid w:val="00641E1C"/>
    <w:rsid w:val="00641E95"/>
    <w:rsid w:val="006421A7"/>
    <w:rsid w:val="00642455"/>
    <w:rsid w:val="0064249A"/>
    <w:rsid w:val="006424B8"/>
    <w:rsid w:val="0064252A"/>
    <w:rsid w:val="0064257E"/>
    <w:rsid w:val="006425EC"/>
    <w:rsid w:val="00642667"/>
    <w:rsid w:val="00642668"/>
    <w:rsid w:val="00642718"/>
    <w:rsid w:val="0064276D"/>
    <w:rsid w:val="00642792"/>
    <w:rsid w:val="00642869"/>
    <w:rsid w:val="006428E5"/>
    <w:rsid w:val="00642B55"/>
    <w:rsid w:val="00642C21"/>
    <w:rsid w:val="00642DAA"/>
    <w:rsid w:val="00642EE1"/>
    <w:rsid w:val="0064308C"/>
    <w:rsid w:val="006430C8"/>
    <w:rsid w:val="006432A2"/>
    <w:rsid w:val="0064333D"/>
    <w:rsid w:val="006433AB"/>
    <w:rsid w:val="0064348A"/>
    <w:rsid w:val="006434D9"/>
    <w:rsid w:val="00643569"/>
    <w:rsid w:val="006435EF"/>
    <w:rsid w:val="00643646"/>
    <w:rsid w:val="00643726"/>
    <w:rsid w:val="006437F5"/>
    <w:rsid w:val="006438A7"/>
    <w:rsid w:val="0064395D"/>
    <w:rsid w:val="006439CE"/>
    <w:rsid w:val="00643A73"/>
    <w:rsid w:val="00643B03"/>
    <w:rsid w:val="00643C11"/>
    <w:rsid w:val="00643D6D"/>
    <w:rsid w:val="00643DC2"/>
    <w:rsid w:val="00643F3D"/>
    <w:rsid w:val="00643F59"/>
    <w:rsid w:val="0064430A"/>
    <w:rsid w:val="0064432C"/>
    <w:rsid w:val="006443BF"/>
    <w:rsid w:val="00644445"/>
    <w:rsid w:val="0064452D"/>
    <w:rsid w:val="006445B7"/>
    <w:rsid w:val="00644669"/>
    <w:rsid w:val="006446F2"/>
    <w:rsid w:val="00644755"/>
    <w:rsid w:val="00644829"/>
    <w:rsid w:val="00644841"/>
    <w:rsid w:val="0064489A"/>
    <w:rsid w:val="006449D8"/>
    <w:rsid w:val="00644A40"/>
    <w:rsid w:val="00644C36"/>
    <w:rsid w:val="00644DAB"/>
    <w:rsid w:val="00644E1F"/>
    <w:rsid w:val="00645141"/>
    <w:rsid w:val="00645189"/>
    <w:rsid w:val="00645409"/>
    <w:rsid w:val="0064561F"/>
    <w:rsid w:val="006456E7"/>
    <w:rsid w:val="00645779"/>
    <w:rsid w:val="00645B17"/>
    <w:rsid w:val="00645B93"/>
    <w:rsid w:val="00645C3F"/>
    <w:rsid w:val="00645CE4"/>
    <w:rsid w:val="00645CFB"/>
    <w:rsid w:val="00645D2B"/>
    <w:rsid w:val="00645DA7"/>
    <w:rsid w:val="00646043"/>
    <w:rsid w:val="006461FA"/>
    <w:rsid w:val="00646266"/>
    <w:rsid w:val="00646287"/>
    <w:rsid w:val="006462CD"/>
    <w:rsid w:val="006466E1"/>
    <w:rsid w:val="006467DF"/>
    <w:rsid w:val="006467FE"/>
    <w:rsid w:val="00646925"/>
    <w:rsid w:val="006469CC"/>
    <w:rsid w:val="006469E6"/>
    <w:rsid w:val="00646D65"/>
    <w:rsid w:val="00646E17"/>
    <w:rsid w:val="00646F81"/>
    <w:rsid w:val="00647063"/>
    <w:rsid w:val="006471B1"/>
    <w:rsid w:val="006471F2"/>
    <w:rsid w:val="00647336"/>
    <w:rsid w:val="00647358"/>
    <w:rsid w:val="006473A1"/>
    <w:rsid w:val="006475D3"/>
    <w:rsid w:val="006475E5"/>
    <w:rsid w:val="006475E6"/>
    <w:rsid w:val="00647656"/>
    <w:rsid w:val="006476F9"/>
    <w:rsid w:val="006476FE"/>
    <w:rsid w:val="006477F2"/>
    <w:rsid w:val="0064786E"/>
    <w:rsid w:val="006478E7"/>
    <w:rsid w:val="006478F4"/>
    <w:rsid w:val="00647951"/>
    <w:rsid w:val="0064799A"/>
    <w:rsid w:val="00647D49"/>
    <w:rsid w:val="00647D96"/>
    <w:rsid w:val="00647DD7"/>
    <w:rsid w:val="00647F23"/>
    <w:rsid w:val="00647F7B"/>
    <w:rsid w:val="00650009"/>
    <w:rsid w:val="00650043"/>
    <w:rsid w:val="0065011F"/>
    <w:rsid w:val="00650145"/>
    <w:rsid w:val="006502C4"/>
    <w:rsid w:val="006503AD"/>
    <w:rsid w:val="006503F4"/>
    <w:rsid w:val="0065040E"/>
    <w:rsid w:val="006504ED"/>
    <w:rsid w:val="00650510"/>
    <w:rsid w:val="00650735"/>
    <w:rsid w:val="006508A1"/>
    <w:rsid w:val="006508D0"/>
    <w:rsid w:val="0065095C"/>
    <w:rsid w:val="00650A2A"/>
    <w:rsid w:val="00650AB4"/>
    <w:rsid w:val="00650AFD"/>
    <w:rsid w:val="00650B0F"/>
    <w:rsid w:val="00650B17"/>
    <w:rsid w:val="00650B23"/>
    <w:rsid w:val="00650C0A"/>
    <w:rsid w:val="00650CD0"/>
    <w:rsid w:val="00650D09"/>
    <w:rsid w:val="00650D30"/>
    <w:rsid w:val="00650D92"/>
    <w:rsid w:val="00650EAE"/>
    <w:rsid w:val="00650EC8"/>
    <w:rsid w:val="00650F89"/>
    <w:rsid w:val="0065115E"/>
    <w:rsid w:val="006511A6"/>
    <w:rsid w:val="006512CF"/>
    <w:rsid w:val="0065132B"/>
    <w:rsid w:val="0065156E"/>
    <w:rsid w:val="0065162E"/>
    <w:rsid w:val="00651766"/>
    <w:rsid w:val="006517AB"/>
    <w:rsid w:val="00651811"/>
    <w:rsid w:val="0065188C"/>
    <w:rsid w:val="0065188D"/>
    <w:rsid w:val="006518F5"/>
    <w:rsid w:val="0065195E"/>
    <w:rsid w:val="00651A0B"/>
    <w:rsid w:val="00651A58"/>
    <w:rsid w:val="00651A7C"/>
    <w:rsid w:val="00652137"/>
    <w:rsid w:val="0065224D"/>
    <w:rsid w:val="00652270"/>
    <w:rsid w:val="00652291"/>
    <w:rsid w:val="00652366"/>
    <w:rsid w:val="0065249E"/>
    <w:rsid w:val="0065262A"/>
    <w:rsid w:val="00652695"/>
    <w:rsid w:val="0065269A"/>
    <w:rsid w:val="006526A8"/>
    <w:rsid w:val="006526BE"/>
    <w:rsid w:val="00652929"/>
    <w:rsid w:val="006529A1"/>
    <w:rsid w:val="00652D7E"/>
    <w:rsid w:val="00652DF6"/>
    <w:rsid w:val="00652E5A"/>
    <w:rsid w:val="00652E5B"/>
    <w:rsid w:val="00652EB3"/>
    <w:rsid w:val="00652EF5"/>
    <w:rsid w:val="00652F26"/>
    <w:rsid w:val="0065301B"/>
    <w:rsid w:val="0065302B"/>
    <w:rsid w:val="006530B5"/>
    <w:rsid w:val="00653192"/>
    <w:rsid w:val="00653217"/>
    <w:rsid w:val="0065326A"/>
    <w:rsid w:val="006532ED"/>
    <w:rsid w:val="00653324"/>
    <w:rsid w:val="00653523"/>
    <w:rsid w:val="006535D0"/>
    <w:rsid w:val="006535FA"/>
    <w:rsid w:val="006536F5"/>
    <w:rsid w:val="0065372D"/>
    <w:rsid w:val="006539BE"/>
    <w:rsid w:val="00653A61"/>
    <w:rsid w:val="00653DC1"/>
    <w:rsid w:val="006541B5"/>
    <w:rsid w:val="00654206"/>
    <w:rsid w:val="006544DA"/>
    <w:rsid w:val="00654651"/>
    <w:rsid w:val="006546A7"/>
    <w:rsid w:val="0065475C"/>
    <w:rsid w:val="006547F2"/>
    <w:rsid w:val="006549C0"/>
    <w:rsid w:val="00654D02"/>
    <w:rsid w:val="00654D66"/>
    <w:rsid w:val="00654DF2"/>
    <w:rsid w:val="00654E1C"/>
    <w:rsid w:val="00655289"/>
    <w:rsid w:val="006553B8"/>
    <w:rsid w:val="00655424"/>
    <w:rsid w:val="006554AC"/>
    <w:rsid w:val="00655696"/>
    <w:rsid w:val="006556AE"/>
    <w:rsid w:val="0065588B"/>
    <w:rsid w:val="006559CE"/>
    <w:rsid w:val="00655B82"/>
    <w:rsid w:val="00655D25"/>
    <w:rsid w:val="00655D42"/>
    <w:rsid w:val="00655DA1"/>
    <w:rsid w:val="00655DE7"/>
    <w:rsid w:val="00655F14"/>
    <w:rsid w:val="00655FB1"/>
    <w:rsid w:val="0065621F"/>
    <w:rsid w:val="0065626D"/>
    <w:rsid w:val="006562E7"/>
    <w:rsid w:val="0065657A"/>
    <w:rsid w:val="006565C1"/>
    <w:rsid w:val="00656650"/>
    <w:rsid w:val="0065677D"/>
    <w:rsid w:val="00656858"/>
    <w:rsid w:val="00656981"/>
    <w:rsid w:val="00656B23"/>
    <w:rsid w:val="00656C97"/>
    <w:rsid w:val="00656F24"/>
    <w:rsid w:val="00656F38"/>
    <w:rsid w:val="0065704F"/>
    <w:rsid w:val="006571EF"/>
    <w:rsid w:val="00657201"/>
    <w:rsid w:val="00657294"/>
    <w:rsid w:val="00657333"/>
    <w:rsid w:val="00657351"/>
    <w:rsid w:val="00657376"/>
    <w:rsid w:val="006573C7"/>
    <w:rsid w:val="00657493"/>
    <w:rsid w:val="0065758A"/>
    <w:rsid w:val="006576BF"/>
    <w:rsid w:val="0065775F"/>
    <w:rsid w:val="006577BC"/>
    <w:rsid w:val="006577F0"/>
    <w:rsid w:val="0065783A"/>
    <w:rsid w:val="0065789A"/>
    <w:rsid w:val="00657B5C"/>
    <w:rsid w:val="00657CFC"/>
    <w:rsid w:val="00657DF5"/>
    <w:rsid w:val="00657E2B"/>
    <w:rsid w:val="00657EFF"/>
    <w:rsid w:val="006601A2"/>
    <w:rsid w:val="00660202"/>
    <w:rsid w:val="00660214"/>
    <w:rsid w:val="006603B9"/>
    <w:rsid w:val="00660630"/>
    <w:rsid w:val="006607B3"/>
    <w:rsid w:val="0066080F"/>
    <w:rsid w:val="00660923"/>
    <w:rsid w:val="00660A4F"/>
    <w:rsid w:val="00660A68"/>
    <w:rsid w:val="00660A9B"/>
    <w:rsid w:val="00660AB6"/>
    <w:rsid w:val="00660AD2"/>
    <w:rsid w:val="00660BDA"/>
    <w:rsid w:val="00660C12"/>
    <w:rsid w:val="00660C72"/>
    <w:rsid w:val="00660C7C"/>
    <w:rsid w:val="00660CB5"/>
    <w:rsid w:val="00660E62"/>
    <w:rsid w:val="00660ED2"/>
    <w:rsid w:val="00660EF4"/>
    <w:rsid w:val="006610AB"/>
    <w:rsid w:val="0066117C"/>
    <w:rsid w:val="006611F4"/>
    <w:rsid w:val="006615DD"/>
    <w:rsid w:val="0066185F"/>
    <w:rsid w:val="00661895"/>
    <w:rsid w:val="006618E5"/>
    <w:rsid w:val="006619DE"/>
    <w:rsid w:val="00661AA6"/>
    <w:rsid w:val="00661B2C"/>
    <w:rsid w:val="00661D84"/>
    <w:rsid w:val="00661E78"/>
    <w:rsid w:val="00661EBD"/>
    <w:rsid w:val="006620AD"/>
    <w:rsid w:val="006620AE"/>
    <w:rsid w:val="006621B8"/>
    <w:rsid w:val="006621D7"/>
    <w:rsid w:val="0066222C"/>
    <w:rsid w:val="00662394"/>
    <w:rsid w:val="00662565"/>
    <w:rsid w:val="006625F5"/>
    <w:rsid w:val="0066265A"/>
    <w:rsid w:val="0066268C"/>
    <w:rsid w:val="006626B0"/>
    <w:rsid w:val="0066273C"/>
    <w:rsid w:val="0066292E"/>
    <w:rsid w:val="0066294A"/>
    <w:rsid w:val="00662A29"/>
    <w:rsid w:val="00662B61"/>
    <w:rsid w:val="00662C8D"/>
    <w:rsid w:val="00662D10"/>
    <w:rsid w:val="00662D43"/>
    <w:rsid w:val="00662E68"/>
    <w:rsid w:val="00662E87"/>
    <w:rsid w:val="00662F04"/>
    <w:rsid w:val="00663348"/>
    <w:rsid w:val="006634A9"/>
    <w:rsid w:val="00663925"/>
    <w:rsid w:val="0066392C"/>
    <w:rsid w:val="00663BD3"/>
    <w:rsid w:val="00663C66"/>
    <w:rsid w:val="00663E96"/>
    <w:rsid w:val="00663ECA"/>
    <w:rsid w:val="00663FE8"/>
    <w:rsid w:val="00663FFD"/>
    <w:rsid w:val="00664030"/>
    <w:rsid w:val="00664062"/>
    <w:rsid w:val="00664169"/>
    <w:rsid w:val="00664340"/>
    <w:rsid w:val="006643A9"/>
    <w:rsid w:val="0066445F"/>
    <w:rsid w:val="0066467A"/>
    <w:rsid w:val="00664716"/>
    <w:rsid w:val="006647AE"/>
    <w:rsid w:val="00664845"/>
    <w:rsid w:val="00664AED"/>
    <w:rsid w:val="00664AFE"/>
    <w:rsid w:val="00664B5F"/>
    <w:rsid w:val="00664D96"/>
    <w:rsid w:val="00664DE4"/>
    <w:rsid w:val="00664E2C"/>
    <w:rsid w:val="00664E97"/>
    <w:rsid w:val="00664ECC"/>
    <w:rsid w:val="00664F52"/>
    <w:rsid w:val="0066501C"/>
    <w:rsid w:val="00665101"/>
    <w:rsid w:val="006651D5"/>
    <w:rsid w:val="00665304"/>
    <w:rsid w:val="00665450"/>
    <w:rsid w:val="00665882"/>
    <w:rsid w:val="0066595D"/>
    <w:rsid w:val="006659F4"/>
    <w:rsid w:val="00665BBE"/>
    <w:rsid w:val="00665C0F"/>
    <w:rsid w:val="00665C2D"/>
    <w:rsid w:val="00665C43"/>
    <w:rsid w:val="00665E45"/>
    <w:rsid w:val="00665F27"/>
    <w:rsid w:val="006662DA"/>
    <w:rsid w:val="00666365"/>
    <w:rsid w:val="006663BB"/>
    <w:rsid w:val="0066654D"/>
    <w:rsid w:val="00666580"/>
    <w:rsid w:val="006666B7"/>
    <w:rsid w:val="00666784"/>
    <w:rsid w:val="00666884"/>
    <w:rsid w:val="006669FC"/>
    <w:rsid w:val="00666A91"/>
    <w:rsid w:val="00666AFA"/>
    <w:rsid w:val="00666B05"/>
    <w:rsid w:val="00666B92"/>
    <w:rsid w:val="00666BFE"/>
    <w:rsid w:val="00666CE8"/>
    <w:rsid w:val="00666E0A"/>
    <w:rsid w:val="00666E67"/>
    <w:rsid w:val="00666EAE"/>
    <w:rsid w:val="006672F5"/>
    <w:rsid w:val="006674E2"/>
    <w:rsid w:val="0066757B"/>
    <w:rsid w:val="0066767C"/>
    <w:rsid w:val="006676FF"/>
    <w:rsid w:val="00667821"/>
    <w:rsid w:val="00667874"/>
    <w:rsid w:val="00667B27"/>
    <w:rsid w:val="00667B31"/>
    <w:rsid w:val="00667BB5"/>
    <w:rsid w:val="00667F90"/>
    <w:rsid w:val="00670212"/>
    <w:rsid w:val="00670263"/>
    <w:rsid w:val="0067033C"/>
    <w:rsid w:val="006703BC"/>
    <w:rsid w:val="00670403"/>
    <w:rsid w:val="00670697"/>
    <w:rsid w:val="006706D6"/>
    <w:rsid w:val="00670862"/>
    <w:rsid w:val="00670AE3"/>
    <w:rsid w:val="00670B84"/>
    <w:rsid w:val="00670BF7"/>
    <w:rsid w:val="00670C53"/>
    <w:rsid w:val="00670C6C"/>
    <w:rsid w:val="00670DB9"/>
    <w:rsid w:val="00670EF3"/>
    <w:rsid w:val="006711AA"/>
    <w:rsid w:val="006711E5"/>
    <w:rsid w:val="00671235"/>
    <w:rsid w:val="00671287"/>
    <w:rsid w:val="0067133A"/>
    <w:rsid w:val="00671500"/>
    <w:rsid w:val="00671529"/>
    <w:rsid w:val="00671609"/>
    <w:rsid w:val="00671678"/>
    <w:rsid w:val="006716BD"/>
    <w:rsid w:val="006717B1"/>
    <w:rsid w:val="006717C8"/>
    <w:rsid w:val="00671A19"/>
    <w:rsid w:val="00671A30"/>
    <w:rsid w:val="00671A72"/>
    <w:rsid w:val="00671B49"/>
    <w:rsid w:val="00671BFD"/>
    <w:rsid w:val="00671D22"/>
    <w:rsid w:val="00671D3C"/>
    <w:rsid w:val="00671D43"/>
    <w:rsid w:val="00671E36"/>
    <w:rsid w:val="00671F22"/>
    <w:rsid w:val="00671F8A"/>
    <w:rsid w:val="0067209E"/>
    <w:rsid w:val="00672223"/>
    <w:rsid w:val="00672249"/>
    <w:rsid w:val="00672268"/>
    <w:rsid w:val="006725F0"/>
    <w:rsid w:val="006726AA"/>
    <w:rsid w:val="00672774"/>
    <w:rsid w:val="00672A02"/>
    <w:rsid w:val="00672B5D"/>
    <w:rsid w:val="00672BE9"/>
    <w:rsid w:val="00672C7E"/>
    <w:rsid w:val="00672DD2"/>
    <w:rsid w:val="00672E87"/>
    <w:rsid w:val="00672EF7"/>
    <w:rsid w:val="00672FA8"/>
    <w:rsid w:val="006731BF"/>
    <w:rsid w:val="006731E9"/>
    <w:rsid w:val="00673237"/>
    <w:rsid w:val="006732A3"/>
    <w:rsid w:val="006734CE"/>
    <w:rsid w:val="00673622"/>
    <w:rsid w:val="006736FA"/>
    <w:rsid w:val="00673720"/>
    <w:rsid w:val="006738C6"/>
    <w:rsid w:val="00673CCF"/>
    <w:rsid w:val="00673D43"/>
    <w:rsid w:val="00673E44"/>
    <w:rsid w:val="00673EE4"/>
    <w:rsid w:val="0067406A"/>
    <w:rsid w:val="006740CB"/>
    <w:rsid w:val="0067411D"/>
    <w:rsid w:val="0067412A"/>
    <w:rsid w:val="00674143"/>
    <w:rsid w:val="00674201"/>
    <w:rsid w:val="00674361"/>
    <w:rsid w:val="0067441B"/>
    <w:rsid w:val="006744FD"/>
    <w:rsid w:val="00674503"/>
    <w:rsid w:val="00674591"/>
    <w:rsid w:val="0067465A"/>
    <w:rsid w:val="006747AB"/>
    <w:rsid w:val="00674893"/>
    <w:rsid w:val="006748B1"/>
    <w:rsid w:val="0067498B"/>
    <w:rsid w:val="006749B1"/>
    <w:rsid w:val="00674A34"/>
    <w:rsid w:val="00674A7A"/>
    <w:rsid w:val="00674C24"/>
    <w:rsid w:val="00674DCF"/>
    <w:rsid w:val="00674E0D"/>
    <w:rsid w:val="00674E59"/>
    <w:rsid w:val="006752F8"/>
    <w:rsid w:val="006754DD"/>
    <w:rsid w:val="00675788"/>
    <w:rsid w:val="006757BE"/>
    <w:rsid w:val="00675805"/>
    <w:rsid w:val="0067591C"/>
    <w:rsid w:val="00675AED"/>
    <w:rsid w:val="00675B9E"/>
    <w:rsid w:val="00675C2F"/>
    <w:rsid w:val="00675CCD"/>
    <w:rsid w:val="00675D3F"/>
    <w:rsid w:val="00675D47"/>
    <w:rsid w:val="00675D7E"/>
    <w:rsid w:val="00675DCC"/>
    <w:rsid w:val="00675DE1"/>
    <w:rsid w:val="00675E12"/>
    <w:rsid w:val="00675E17"/>
    <w:rsid w:val="00675E5C"/>
    <w:rsid w:val="00675FED"/>
    <w:rsid w:val="0067604C"/>
    <w:rsid w:val="0067606F"/>
    <w:rsid w:val="006761D2"/>
    <w:rsid w:val="0067622C"/>
    <w:rsid w:val="0067623B"/>
    <w:rsid w:val="00676505"/>
    <w:rsid w:val="00676526"/>
    <w:rsid w:val="00676819"/>
    <w:rsid w:val="006768F2"/>
    <w:rsid w:val="006769EE"/>
    <w:rsid w:val="00676C6F"/>
    <w:rsid w:val="00676CD3"/>
    <w:rsid w:val="00676D06"/>
    <w:rsid w:val="00677147"/>
    <w:rsid w:val="0067718E"/>
    <w:rsid w:val="0067732A"/>
    <w:rsid w:val="0067733A"/>
    <w:rsid w:val="0067734F"/>
    <w:rsid w:val="00677746"/>
    <w:rsid w:val="0067786E"/>
    <w:rsid w:val="00677921"/>
    <w:rsid w:val="00677A97"/>
    <w:rsid w:val="00677CA4"/>
    <w:rsid w:val="00677D12"/>
    <w:rsid w:val="00677E2E"/>
    <w:rsid w:val="00677E2F"/>
    <w:rsid w:val="00677FFD"/>
    <w:rsid w:val="0068018B"/>
    <w:rsid w:val="006801EF"/>
    <w:rsid w:val="0068023C"/>
    <w:rsid w:val="006802E8"/>
    <w:rsid w:val="00680435"/>
    <w:rsid w:val="0068085C"/>
    <w:rsid w:val="006808DE"/>
    <w:rsid w:val="00680AD5"/>
    <w:rsid w:val="00680C03"/>
    <w:rsid w:val="00680C9D"/>
    <w:rsid w:val="00680D9B"/>
    <w:rsid w:val="00680E43"/>
    <w:rsid w:val="00680F86"/>
    <w:rsid w:val="00680FBA"/>
    <w:rsid w:val="00681074"/>
    <w:rsid w:val="006810BF"/>
    <w:rsid w:val="0068115C"/>
    <w:rsid w:val="00681497"/>
    <w:rsid w:val="006814E4"/>
    <w:rsid w:val="00681844"/>
    <w:rsid w:val="00681940"/>
    <w:rsid w:val="006819B9"/>
    <w:rsid w:val="00681B3B"/>
    <w:rsid w:val="00681BB2"/>
    <w:rsid w:val="00681C9A"/>
    <w:rsid w:val="00681CA5"/>
    <w:rsid w:val="00681D84"/>
    <w:rsid w:val="00682069"/>
    <w:rsid w:val="00682154"/>
    <w:rsid w:val="0068219C"/>
    <w:rsid w:val="00682249"/>
    <w:rsid w:val="006822E5"/>
    <w:rsid w:val="006823BC"/>
    <w:rsid w:val="0068241E"/>
    <w:rsid w:val="006824B1"/>
    <w:rsid w:val="006824C9"/>
    <w:rsid w:val="0068261F"/>
    <w:rsid w:val="0068272A"/>
    <w:rsid w:val="006827CA"/>
    <w:rsid w:val="0068282A"/>
    <w:rsid w:val="0068292B"/>
    <w:rsid w:val="00682968"/>
    <w:rsid w:val="00682B33"/>
    <w:rsid w:val="00682B36"/>
    <w:rsid w:val="00682B56"/>
    <w:rsid w:val="00682DC7"/>
    <w:rsid w:val="00682DDD"/>
    <w:rsid w:val="00682E7B"/>
    <w:rsid w:val="00682F83"/>
    <w:rsid w:val="0068307C"/>
    <w:rsid w:val="006831A9"/>
    <w:rsid w:val="006831E7"/>
    <w:rsid w:val="0068325A"/>
    <w:rsid w:val="00683314"/>
    <w:rsid w:val="006833E5"/>
    <w:rsid w:val="006835BE"/>
    <w:rsid w:val="006835D2"/>
    <w:rsid w:val="0068361B"/>
    <w:rsid w:val="006839A1"/>
    <w:rsid w:val="00683AC6"/>
    <w:rsid w:val="00683B0A"/>
    <w:rsid w:val="00683B95"/>
    <w:rsid w:val="00683C1B"/>
    <w:rsid w:val="00683C42"/>
    <w:rsid w:val="00683D28"/>
    <w:rsid w:val="00683DB7"/>
    <w:rsid w:val="00683ECA"/>
    <w:rsid w:val="00683F8E"/>
    <w:rsid w:val="006840A7"/>
    <w:rsid w:val="0068422F"/>
    <w:rsid w:val="00684257"/>
    <w:rsid w:val="006842A4"/>
    <w:rsid w:val="006842E9"/>
    <w:rsid w:val="006846CA"/>
    <w:rsid w:val="0068480A"/>
    <w:rsid w:val="00684AEA"/>
    <w:rsid w:val="00684DA3"/>
    <w:rsid w:val="006850C2"/>
    <w:rsid w:val="00685115"/>
    <w:rsid w:val="006851A4"/>
    <w:rsid w:val="00685287"/>
    <w:rsid w:val="006852AB"/>
    <w:rsid w:val="0068532D"/>
    <w:rsid w:val="006854A2"/>
    <w:rsid w:val="0068551F"/>
    <w:rsid w:val="006855E8"/>
    <w:rsid w:val="006856CD"/>
    <w:rsid w:val="00685741"/>
    <w:rsid w:val="006858BD"/>
    <w:rsid w:val="006858DA"/>
    <w:rsid w:val="0068596E"/>
    <w:rsid w:val="0068597D"/>
    <w:rsid w:val="00685A67"/>
    <w:rsid w:val="00685A7E"/>
    <w:rsid w:val="00685BB8"/>
    <w:rsid w:val="00685BDA"/>
    <w:rsid w:val="00685C10"/>
    <w:rsid w:val="00685CBE"/>
    <w:rsid w:val="00685CF7"/>
    <w:rsid w:val="00685ED2"/>
    <w:rsid w:val="00686165"/>
    <w:rsid w:val="006862A0"/>
    <w:rsid w:val="00686418"/>
    <w:rsid w:val="0068648B"/>
    <w:rsid w:val="00686598"/>
    <w:rsid w:val="006865A0"/>
    <w:rsid w:val="006865B9"/>
    <w:rsid w:val="006867FE"/>
    <w:rsid w:val="00686838"/>
    <w:rsid w:val="006868D2"/>
    <w:rsid w:val="00686953"/>
    <w:rsid w:val="0068698D"/>
    <w:rsid w:val="00686BCD"/>
    <w:rsid w:val="00686BD8"/>
    <w:rsid w:val="00686BDF"/>
    <w:rsid w:val="00686BED"/>
    <w:rsid w:val="00686CD7"/>
    <w:rsid w:val="00686D05"/>
    <w:rsid w:val="00687149"/>
    <w:rsid w:val="00687237"/>
    <w:rsid w:val="00687240"/>
    <w:rsid w:val="0068727B"/>
    <w:rsid w:val="00687362"/>
    <w:rsid w:val="006874C0"/>
    <w:rsid w:val="006875F5"/>
    <w:rsid w:val="0068770E"/>
    <w:rsid w:val="006879D8"/>
    <w:rsid w:val="00687ADA"/>
    <w:rsid w:val="00687C41"/>
    <w:rsid w:val="00687CD5"/>
    <w:rsid w:val="00687E18"/>
    <w:rsid w:val="00687E60"/>
    <w:rsid w:val="00687F90"/>
    <w:rsid w:val="006900B5"/>
    <w:rsid w:val="00690161"/>
    <w:rsid w:val="006901E5"/>
    <w:rsid w:val="006901F9"/>
    <w:rsid w:val="0069027E"/>
    <w:rsid w:val="006902CD"/>
    <w:rsid w:val="006903D5"/>
    <w:rsid w:val="00690496"/>
    <w:rsid w:val="006904B7"/>
    <w:rsid w:val="0069056E"/>
    <w:rsid w:val="00690662"/>
    <w:rsid w:val="00690850"/>
    <w:rsid w:val="00690A05"/>
    <w:rsid w:val="00690A5C"/>
    <w:rsid w:val="00690A60"/>
    <w:rsid w:val="00690BBB"/>
    <w:rsid w:val="00690D34"/>
    <w:rsid w:val="00690EE6"/>
    <w:rsid w:val="0069115C"/>
    <w:rsid w:val="0069116E"/>
    <w:rsid w:val="006911E9"/>
    <w:rsid w:val="00691223"/>
    <w:rsid w:val="006915CB"/>
    <w:rsid w:val="00691735"/>
    <w:rsid w:val="00691878"/>
    <w:rsid w:val="00691BDB"/>
    <w:rsid w:val="00691BEF"/>
    <w:rsid w:val="00691C47"/>
    <w:rsid w:val="00691CB1"/>
    <w:rsid w:val="00691CB5"/>
    <w:rsid w:val="00691D6B"/>
    <w:rsid w:val="00691DEC"/>
    <w:rsid w:val="00691E9E"/>
    <w:rsid w:val="00691F15"/>
    <w:rsid w:val="00691F3D"/>
    <w:rsid w:val="00691F43"/>
    <w:rsid w:val="00692018"/>
    <w:rsid w:val="00692053"/>
    <w:rsid w:val="006920AD"/>
    <w:rsid w:val="0069224E"/>
    <w:rsid w:val="00692260"/>
    <w:rsid w:val="006923DF"/>
    <w:rsid w:val="00692438"/>
    <w:rsid w:val="00692510"/>
    <w:rsid w:val="00692541"/>
    <w:rsid w:val="00692552"/>
    <w:rsid w:val="006925E6"/>
    <w:rsid w:val="006925EB"/>
    <w:rsid w:val="006926DA"/>
    <w:rsid w:val="006926DC"/>
    <w:rsid w:val="006926F4"/>
    <w:rsid w:val="00692792"/>
    <w:rsid w:val="006927E8"/>
    <w:rsid w:val="00692920"/>
    <w:rsid w:val="00692A23"/>
    <w:rsid w:val="00692A7F"/>
    <w:rsid w:val="00692D4E"/>
    <w:rsid w:val="00692D70"/>
    <w:rsid w:val="00692E84"/>
    <w:rsid w:val="00692EA4"/>
    <w:rsid w:val="00692F12"/>
    <w:rsid w:val="00692F3A"/>
    <w:rsid w:val="006930CB"/>
    <w:rsid w:val="00693107"/>
    <w:rsid w:val="00693118"/>
    <w:rsid w:val="006931AE"/>
    <w:rsid w:val="006932B4"/>
    <w:rsid w:val="006933A8"/>
    <w:rsid w:val="006933E5"/>
    <w:rsid w:val="00693479"/>
    <w:rsid w:val="006935C9"/>
    <w:rsid w:val="0069365F"/>
    <w:rsid w:val="00693674"/>
    <w:rsid w:val="0069379A"/>
    <w:rsid w:val="006937AC"/>
    <w:rsid w:val="006937C8"/>
    <w:rsid w:val="00693841"/>
    <w:rsid w:val="00693873"/>
    <w:rsid w:val="0069395F"/>
    <w:rsid w:val="00693FB5"/>
    <w:rsid w:val="00693FCD"/>
    <w:rsid w:val="00693FD3"/>
    <w:rsid w:val="00693FEC"/>
    <w:rsid w:val="0069412A"/>
    <w:rsid w:val="00694131"/>
    <w:rsid w:val="00694180"/>
    <w:rsid w:val="006942A7"/>
    <w:rsid w:val="006942AD"/>
    <w:rsid w:val="00694374"/>
    <w:rsid w:val="00694735"/>
    <w:rsid w:val="0069480D"/>
    <w:rsid w:val="00694875"/>
    <w:rsid w:val="0069496B"/>
    <w:rsid w:val="006949AB"/>
    <w:rsid w:val="00694B65"/>
    <w:rsid w:val="00694CC0"/>
    <w:rsid w:val="00694EDF"/>
    <w:rsid w:val="0069509C"/>
    <w:rsid w:val="006950CA"/>
    <w:rsid w:val="00695133"/>
    <w:rsid w:val="00695328"/>
    <w:rsid w:val="006953BB"/>
    <w:rsid w:val="0069544A"/>
    <w:rsid w:val="006954BA"/>
    <w:rsid w:val="00695513"/>
    <w:rsid w:val="00695569"/>
    <w:rsid w:val="00695664"/>
    <w:rsid w:val="00695778"/>
    <w:rsid w:val="006957C7"/>
    <w:rsid w:val="006958BB"/>
    <w:rsid w:val="00695968"/>
    <w:rsid w:val="006959B3"/>
    <w:rsid w:val="00695A61"/>
    <w:rsid w:val="00695A82"/>
    <w:rsid w:val="00695AAD"/>
    <w:rsid w:val="00695B6B"/>
    <w:rsid w:val="00695D77"/>
    <w:rsid w:val="00695DC4"/>
    <w:rsid w:val="00695E8E"/>
    <w:rsid w:val="00695FAF"/>
    <w:rsid w:val="006960FC"/>
    <w:rsid w:val="0069617F"/>
    <w:rsid w:val="006962D4"/>
    <w:rsid w:val="00696317"/>
    <w:rsid w:val="00696354"/>
    <w:rsid w:val="00696375"/>
    <w:rsid w:val="00696416"/>
    <w:rsid w:val="006965FF"/>
    <w:rsid w:val="00696630"/>
    <w:rsid w:val="006966A9"/>
    <w:rsid w:val="0069683B"/>
    <w:rsid w:val="0069692C"/>
    <w:rsid w:val="00696B42"/>
    <w:rsid w:val="00696C1D"/>
    <w:rsid w:val="00696EE0"/>
    <w:rsid w:val="00696F1E"/>
    <w:rsid w:val="00697178"/>
    <w:rsid w:val="00697191"/>
    <w:rsid w:val="00697331"/>
    <w:rsid w:val="0069756B"/>
    <w:rsid w:val="00697628"/>
    <w:rsid w:val="00697633"/>
    <w:rsid w:val="00697646"/>
    <w:rsid w:val="006976AB"/>
    <w:rsid w:val="0069775C"/>
    <w:rsid w:val="006977C4"/>
    <w:rsid w:val="00697849"/>
    <w:rsid w:val="00697981"/>
    <w:rsid w:val="00697B05"/>
    <w:rsid w:val="00697B1C"/>
    <w:rsid w:val="00697B74"/>
    <w:rsid w:val="00697B7A"/>
    <w:rsid w:val="00697BEB"/>
    <w:rsid w:val="00697E37"/>
    <w:rsid w:val="00697E8B"/>
    <w:rsid w:val="00697F04"/>
    <w:rsid w:val="006A0030"/>
    <w:rsid w:val="006A009D"/>
    <w:rsid w:val="006A0251"/>
    <w:rsid w:val="006A037B"/>
    <w:rsid w:val="006A0464"/>
    <w:rsid w:val="006A0476"/>
    <w:rsid w:val="006A049A"/>
    <w:rsid w:val="006A051A"/>
    <w:rsid w:val="006A056E"/>
    <w:rsid w:val="006A065B"/>
    <w:rsid w:val="006A069B"/>
    <w:rsid w:val="006A08D3"/>
    <w:rsid w:val="006A0A03"/>
    <w:rsid w:val="006A0AAA"/>
    <w:rsid w:val="006A0B4B"/>
    <w:rsid w:val="006A0BD2"/>
    <w:rsid w:val="006A0C94"/>
    <w:rsid w:val="006A0DF5"/>
    <w:rsid w:val="006A0E35"/>
    <w:rsid w:val="006A0F37"/>
    <w:rsid w:val="006A0F4A"/>
    <w:rsid w:val="006A1022"/>
    <w:rsid w:val="006A102F"/>
    <w:rsid w:val="006A10F6"/>
    <w:rsid w:val="006A10FC"/>
    <w:rsid w:val="006A1194"/>
    <w:rsid w:val="006A132F"/>
    <w:rsid w:val="006A141E"/>
    <w:rsid w:val="006A151A"/>
    <w:rsid w:val="006A1524"/>
    <w:rsid w:val="006A16C3"/>
    <w:rsid w:val="006A17BF"/>
    <w:rsid w:val="006A1816"/>
    <w:rsid w:val="006A1919"/>
    <w:rsid w:val="006A192B"/>
    <w:rsid w:val="006A1B8F"/>
    <w:rsid w:val="006A1C43"/>
    <w:rsid w:val="006A1EA3"/>
    <w:rsid w:val="006A1EAB"/>
    <w:rsid w:val="006A203B"/>
    <w:rsid w:val="006A2144"/>
    <w:rsid w:val="006A21E7"/>
    <w:rsid w:val="006A23B9"/>
    <w:rsid w:val="006A23C1"/>
    <w:rsid w:val="006A295C"/>
    <w:rsid w:val="006A2B46"/>
    <w:rsid w:val="006A2CC4"/>
    <w:rsid w:val="006A2D50"/>
    <w:rsid w:val="006A2D60"/>
    <w:rsid w:val="006A2D69"/>
    <w:rsid w:val="006A2DC2"/>
    <w:rsid w:val="006A2EDE"/>
    <w:rsid w:val="006A3266"/>
    <w:rsid w:val="006A32C3"/>
    <w:rsid w:val="006A330A"/>
    <w:rsid w:val="006A3698"/>
    <w:rsid w:val="006A370B"/>
    <w:rsid w:val="006A3712"/>
    <w:rsid w:val="006A3721"/>
    <w:rsid w:val="006A37F5"/>
    <w:rsid w:val="006A38DB"/>
    <w:rsid w:val="006A3903"/>
    <w:rsid w:val="006A3A50"/>
    <w:rsid w:val="006A3C0D"/>
    <w:rsid w:val="006A3C4A"/>
    <w:rsid w:val="006A3C98"/>
    <w:rsid w:val="006A3FBE"/>
    <w:rsid w:val="006A4056"/>
    <w:rsid w:val="006A4144"/>
    <w:rsid w:val="006A432F"/>
    <w:rsid w:val="006A43CE"/>
    <w:rsid w:val="006A440A"/>
    <w:rsid w:val="006A4522"/>
    <w:rsid w:val="006A45EA"/>
    <w:rsid w:val="006A4851"/>
    <w:rsid w:val="006A492C"/>
    <w:rsid w:val="006A497A"/>
    <w:rsid w:val="006A4A91"/>
    <w:rsid w:val="006A4AFA"/>
    <w:rsid w:val="006A4D7A"/>
    <w:rsid w:val="006A4F1B"/>
    <w:rsid w:val="006A4F52"/>
    <w:rsid w:val="006A4F6D"/>
    <w:rsid w:val="006A5124"/>
    <w:rsid w:val="006A5259"/>
    <w:rsid w:val="006A568C"/>
    <w:rsid w:val="006A578B"/>
    <w:rsid w:val="006A5840"/>
    <w:rsid w:val="006A5905"/>
    <w:rsid w:val="006A59A6"/>
    <w:rsid w:val="006A5A65"/>
    <w:rsid w:val="006A5A83"/>
    <w:rsid w:val="006A5ADA"/>
    <w:rsid w:val="006A5BE7"/>
    <w:rsid w:val="006A5CAD"/>
    <w:rsid w:val="006A5D58"/>
    <w:rsid w:val="006A5E15"/>
    <w:rsid w:val="006A5EA1"/>
    <w:rsid w:val="006A5F8C"/>
    <w:rsid w:val="006A6034"/>
    <w:rsid w:val="006A6043"/>
    <w:rsid w:val="006A60BB"/>
    <w:rsid w:val="006A612D"/>
    <w:rsid w:val="006A62B3"/>
    <w:rsid w:val="006A62D7"/>
    <w:rsid w:val="006A641E"/>
    <w:rsid w:val="006A64BE"/>
    <w:rsid w:val="006A6567"/>
    <w:rsid w:val="006A66AB"/>
    <w:rsid w:val="006A684A"/>
    <w:rsid w:val="006A68B3"/>
    <w:rsid w:val="006A6A22"/>
    <w:rsid w:val="006A6B2F"/>
    <w:rsid w:val="006A6BA3"/>
    <w:rsid w:val="006A6BA5"/>
    <w:rsid w:val="006A6CFC"/>
    <w:rsid w:val="006A6D22"/>
    <w:rsid w:val="006A6D42"/>
    <w:rsid w:val="006A6DC2"/>
    <w:rsid w:val="006A6E91"/>
    <w:rsid w:val="006A6EA0"/>
    <w:rsid w:val="006A6F45"/>
    <w:rsid w:val="006A6F8D"/>
    <w:rsid w:val="006A703D"/>
    <w:rsid w:val="006A710C"/>
    <w:rsid w:val="006A7408"/>
    <w:rsid w:val="006A741F"/>
    <w:rsid w:val="006A7907"/>
    <w:rsid w:val="006A79DD"/>
    <w:rsid w:val="006A7B4E"/>
    <w:rsid w:val="006A7B55"/>
    <w:rsid w:val="006A7C3E"/>
    <w:rsid w:val="006A7CCC"/>
    <w:rsid w:val="006A7D13"/>
    <w:rsid w:val="006A7D24"/>
    <w:rsid w:val="006A7D38"/>
    <w:rsid w:val="006A7E1A"/>
    <w:rsid w:val="006A7F96"/>
    <w:rsid w:val="006B0135"/>
    <w:rsid w:val="006B0192"/>
    <w:rsid w:val="006B0243"/>
    <w:rsid w:val="006B026C"/>
    <w:rsid w:val="006B0460"/>
    <w:rsid w:val="006B04CF"/>
    <w:rsid w:val="006B06BD"/>
    <w:rsid w:val="006B0799"/>
    <w:rsid w:val="006B079B"/>
    <w:rsid w:val="006B0871"/>
    <w:rsid w:val="006B08E0"/>
    <w:rsid w:val="006B0AAF"/>
    <w:rsid w:val="006B0B19"/>
    <w:rsid w:val="006B0B91"/>
    <w:rsid w:val="006B0D17"/>
    <w:rsid w:val="006B0F6C"/>
    <w:rsid w:val="006B0FCA"/>
    <w:rsid w:val="006B10F9"/>
    <w:rsid w:val="006B1190"/>
    <w:rsid w:val="006B1252"/>
    <w:rsid w:val="006B14FD"/>
    <w:rsid w:val="006B15AE"/>
    <w:rsid w:val="006B1959"/>
    <w:rsid w:val="006B19DB"/>
    <w:rsid w:val="006B19DF"/>
    <w:rsid w:val="006B1A52"/>
    <w:rsid w:val="006B1B9B"/>
    <w:rsid w:val="006B1D11"/>
    <w:rsid w:val="006B1E8B"/>
    <w:rsid w:val="006B1F8A"/>
    <w:rsid w:val="006B2031"/>
    <w:rsid w:val="006B2081"/>
    <w:rsid w:val="006B212C"/>
    <w:rsid w:val="006B215E"/>
    <w:rsid w:val="006B21E1"/>
    <w:rsid w:val="006B221E"/>
    <w:rsid w:val="006B2244"/>
    <w:rsid w:val="006B23B9"/>
    <w:rsid w:val="006B2413"/>
    <w:rsid w:val="006B246A"/>
    <w:rsid w:val="006B2499"/>
    <w:rsid w:val="006B249C"/>
    <w:rsid w:val="006B24A2"/>
    <w:rsid w:val="006B298B"/>
    <w:rsid w:val="006B2BED"/>
    <w:rsid w:val="006B2C7E"/>
    <w:rsid w:val="006B2E17"/>
    <w:rsid w:val="006B2E4E"/>
    <w:rsid w:val="006B2FF4"/>
    <w:rsid w:val="006B3004"/>
    <w:rsid w:val="006B3172"/>
    <w:rsid w:val="006B33CF"/>
    <w:rsid w:val="006B3402"/>
    <w:rsid w:val="006B3407"/>
    <w:rsid w:val="006B342D"/>
    <w:rsid w:val="006B35EC"/>
    <w:rsid w:val="006B3642"/>
    <w:rsid w:val="006B3672"/>
    <w:rsid w:val="006B370C"/>
    <w:rsid w:val="006B377D"/>
    <w:rsid w:val="006B3827"/>
    <w:rsid w:val="006B3863"/>
    <w:rsid w:val="006B38FF"/>
    <w:rsid w:val="006B3907"/>
    <w:rsid w:val="006B3970"/>
    <w:rsid w:val="006B3BEC"/>
    <w:rsid w:val="006B3C66"/>
    <w:rsid w:val="006B3CC6"/>
    <w:rsid w:val="006B3D4C"/>
    <w:rsid w:val="006B3DF0"/>
    <w:rsid w:val="006B4033"/>
    <w:rsid w:val="006B419B"/>
    <w:rsid w:val="006B41E5"/>
    <w:rsid w:val="006B4230"/>
    <w:rsid w:val="006B4253"/>
    <w:rsid w:val="006B42A9"/>
    <w:rsid w:val="006B43A1"/>
    <w:rsid w:val="006B43DF"/>
    <w:rsid w:val="006B4478"/>
    <w:rsid w:val="006B46F5"/>
    <w:rsid w:val="006B4A15"/>
    <w:rsid w:val="006B4BF8"/>
    <w:rsid w:val="006B4C05"/>
    <w:rsid w:val="006B4E95"/>
    <w:rsid w:val="006B4F2B"/>
    <w:rsid w:val="006B4FED"/>
    <w:rsid w:val="006B5126"/>
    <w:rsid w:val="006B51FC"/>
    <w:rsid w:val="006B5290"/>
    <w:rsid w:val="006B53D7"/>
    <w:rsid w:val="006B53E3"/>
    <w:rsid w:val="006B54CD"/>
    <w:rsid w:val="006B55DC"/>
    <w:rsid w:val="006B572C"/>
    <w:rsid w:val="006B573C"/>
    <w:rsid w:val="006B5842"/>
    <w:rsid w:val="006B58F6"/>
    <w:rsid w:val="006B59D0"/>
    <w:rsid w:val="006B5A04"/>
    <w:rsid w:val="006B5A2E"/>
    <w:rsid w:val="006B5A65"/>
    <w:rsid w:val="006B5A93"/>
    <w:rsid w:val="006B5B60"/>
    <w:rsid w:val="006B5BA5"/>
    <w:rsid w:val="006B5CE8"/>
    <w:rsid w:val="006B5DC3"/>
    <w:rsid w:val="006B5E8E"/>
    <w:rsid w:val="006B5E9C"/>
    <w:rsid w:val="006B6131"/>
    <w:rsid w:val="006B6423"/>
    <w:rsid w:val="006B6448"/>
    <w:rsid w:val="006B65F4"/>
    <w:rsid w:val="006B6874"/>
    <w:rsid w:val="006B6B02"/>
    <w:rsid w:val="006B6B04"/>
    <w:rsid w:val="006B6CBF"/>
    <w:rsid w:val="006B6D34"/>
    <w:rsid w:val="006B7024"/>
    <w:rsid w:val="006B7091"/>
    <w:rsid w:val="006B70A1"/>
    <w:rsid w:val="006B7137"/>
    <w:rsid w:val="006B71EB"/>
    <w:rsid w:val="006B723E"/>
    <w:rsid w:val="006B725B"/>
    <w:rsid w:val="006B7395"/>
    <w:rsid w:val="006B73E2"/>
    <w:rsid w:val="006B73EC"/>
    <w:rsid w:val="006B7712"/>
    <w:rsid w:val="006B788F"/>
    <w:rsid w:val="006B79B9"/>
    <w:rsid w:val="006B7B1A"/>
    <w:rsid w:val="006B7BB6"/>
    <w:rsid w:val="006B7C1F"/>
    <w:rsid w:val="006B7DAA"/>
    <w:rsid w:val="006C0204"/>
    <w:rsid w:val="006C0367"/>
    <w:rsid w:val="006C0406"/>
    <w:rsid w:val="006C0519"/>
    <w:rsid w:val="006C051F"/>
    <w:rsid w:val="006C059E"/>
    <w:rsid w:val="006C0628"/>
    <w:rsid w:val="006C06B5"/>
    <w:rsid w:val="006C06E1"/>
    <w:rsid w:val="006C07AC"/>
    <w:rsid w:val="006C080D"/>
    <w:rsid w:val="006C0AEA"/>
    <w:rsid w:val="006C0C2B"/>
    <w:rsid w:val="006C0C7A"/>
    <w:rsid w:val="006C0CC1"/>
    <w:rsid w:val="006C0E3E"/>
    <w:rsid w:val="006C0EF8"/>
    <w:rsid w:val="006C0F22"/>
    <w:rsid w:val="006C0FCD"/>
    <w:rsid w:val="006C1032"/>
    <w:rsid w:val="006C12AB"/>
    <w:rsid w:val="006C12DB"/>
    <w:rsid w:val="006C1375"/>
    <w:rsid w:val="006C14BB"/>
    <w:rsid w:val="006C1547"/>
    <w:rsid w:val="006C165D"/>
    <w:rsid w:val="006C177C"/>
    <w:rsid w:val="006C1892"/>
    <w:rsid w:val="006C1A63"/>
    <w:rsid w:val="006C1B16"/>
    <w:rsid w:val="006C1BA8"/>
    <w:rsid w:val="006C1BC2"/>
    <w:rsid w:val="006C1D2E"/>
    <w:rsid w:val="006C1D5B"/>
    <w:rsid w:val="006C1D6A"/>
    <w:rsid w:val="006C1EF4"/>
    <w:rsid w:val="006C1FCE"/>
    <w:rsid w:val="006C213D"/>
    <w:rsid w:val="006C21A8"/>
    <w:rsid w:val="006C237C"/>
    <w:rsid w:val="006C27F5"/>
    <w:rsid w:val="006C282E"/>
    <w:rsid w:val="006C28E5"/>
    <w:rsid w:val="006C290F"/>
    <w:rsid w:val="006C2986"/>
    <w:rsid w:val="006C2AAF"/>
    <w:rsid w:val="006C2ABF"/>
    <w:rsid w:val="006C2C83"/>
    <w:rsid w:val="006C2CB1"/>
    <w:rsid w:val="006C2E15"/>
    <w:rsid w:val="006C2F31"/>
    <w:rsid w:val="006C2FA5"/>
    <w:rsid w:val="006C303E"/>
    <w:rsid w:val="006C315F"/>
    <w:rsid w:val="006C31A7"/>
    <w:rsid w:val="006C3240"/>
    <w:rsid w:val="006C336C"/>
    <w:rsid w:val="006C336F"/>
    <w:rsid w:val="006C3574"/>
    <w:rsid w:val="006C3781"/>
    <w:rsid w:val="006C37AF"/>
    <w:rsid w:val="006C37E4"/>
    <w:rsid w:val="006C382A"/>
    <w:rsid w:val="006C3AC1"/>
    <w:rsid w:val="006C3B11"/>
    <w:rsid w:val="006C3B19"/>
    <w:rsid w:val="006C3D7A"/>
    <w:rsid w:val="006C3EF2"/>
    <w:rsid w:val="006C3FA1"/>
    <w:rsid w:val="006C3FA4"/>
    <w:rsid w:val="006C4023"/>
    <w:rsid w:val="006C417D"/>
    <w:rsid w:val="006C4206"/>
    <w:rsid w:val="006C422B"/>
    <w:rsid w:val="006C42B3"/>
    <w:rsid w:val="006C42CF"/>
    <w:rsid w:val="006C4311"/>
    <w:rsid w:val="006C43A6"/>
    <w:rsid w:val="006C45DC"/>
    <w:rsid w:val="006C489C"/>
    <w:rsid w:val="006C48D9"/>
    <w:rsid w:val="006C48F1"/>
    <w:rsid w:val="006C4990"/>
    <w:rsid w:val="006C49AA"/>
    <w:rsid w:val="006C4C17"/>
    <w:rsid w:val="006C4D06"/>
    <w:rsid w:val="006C4E75"/>
    <w:rsid w:val="006C4ECF"/>
    <w:rsid w:val="006C4F3B"/>
    <w:rsid w:val="006C5011"/>
    <w:rsid w:val="006C50E1"/>
    <w:rsid w:val="006C5193"/>
    <w:rsid w:val="006C5291"/>
    <w:rsid w:val="006C52C6"/>
    <w:rsid w:val="006C53C6"/>
    <w:rsid w:val="006C54B2"/>
    <w:rsid w:val="006C561F"/>
    <w:rsid w:val="006C5626"/>
    <w:rsid w:val="006C5671"/>
    <w:rsid w:val="006C5688"/>
    <w:rsid w:val="006C5691"/>
    <w:rsid w:val="006C56C3"/>
    <w:rsid w:val="006C58A4"/>
    <w:rsid w:val="006C5918"/>
    <w:rsid w:val="006C5962"/>
    <w:rsid w:val="006C5980"/>
    <w:rsid w:val="006C5AF3"/>
    <w:rsid w:val="006C5B73"/>
    <w:rsid w:val="006C5B7B"/>
    <w:rsid w:val="006C5C94"/>
    <w:rsid w:val="006C5CE2"/>
    <w:rsid w:val="006C5D6D"/>
    <w:rsid w:val="006C5EA1"/>
    <w:rsid w:val="006C6139"/>
    <w:rsid w:val="006C617E"/>
    <w:rsid w:val="006C63DF"/>
    <w:rsid w:val="006C63ED"/>
    <w:rsid w:val="006C645D"/>
    <w:rsid w:val="006C6474"/>
    <w:rsid w:val="006C65E6"/>
    <w:rsid w:val="006C663E"/>
    <w:rsid w:val="006C6928"/>
    <w:rsid w:val="006C69AC"/>
    <w:rsid w:val="006C6B5C"/>
    <w:rsid w:val="006C6BE6"/>
    <w:rsid w:val="006C6C50"/>
    <w:rsid w:val="006C6E13"/>
    <w:rsid w:val="006C6EDE"/>
    <w:rsid w:val="006C70FB"/>
    <w:rsid w:val="006C7192"/>
    <w:rsid w:val="006C721D"/>
    <w:rsid w:val="006C7273"/>
    <w:rsid w:val="006C730C"/>
    <w:rsid w:val="006C747B"/>
    <w:rsid w:val="006C752F"/>
    <w:rsid w:val="006C75F7"/>
    <w:rsid w:val="006C770E"/>
    <w:rsid w:val="006C77D6"/>
    <w:rsid w:val="006C79A5"/>
    <w:rsid w:val="006C7B2A"/>
    <w:rsid w:val="006C7BDD"/>
    <w:rsid w:val="006C7C63"/>
    <w:rsid w:val="006C7C91"/>
    <w:rsid w:val="006C7C95"/>
    <w:rsid w:val="006C7D03"/>
    <w:rsid w:val="006C7E54"/>
    <w:rsid w:val="006C7F01"/>
    <w:rsid w:val="006D00C8"/>
    <w:rsid w:val="006D01AA"/>
    <w:rsid w:val="006D01BA"/>
    <w:rsid w:val="006D02E8"/>
    <w:rsid w:val="006D053E"/>
    <w:rsid w:val="006D0554"/>
    <w:rsid w:val="006D05AF"/>
    <w:rsid w:val="006D05E5"/>
    <w:rsid w:val="006D0800"/>
    <w:rsid w:val="006D08E2"/>
    <w:rsid w:val="006D0A4E"/>
    <w:rsid w:val="006D0B1A"/>
    <w:rsid w:val="006D0B4F"/>
    <w:rsid w:val="006D1053"/>
    <w:rsid w:val="006D10BD"/>
    <w:rsid w:val="006D1152"/>
    <w:rsid w:val="006D120F"/>
    <w:rsid w:val="006D1216"/>
    <w:rsid w:val="006D12C9"/>
    <w:rsid w:val="006D143C"/>
    <w:rsid w:val="006D1589"/>
    <w:rsid w:val="006D1914"/>
    <w:rsid w:val="006D1B68"/>
    <w:rsid w:val="006D1BCA"/>
    <w:rsid w:val="006D1C89"/>
    <w:rsid w:val="006D1CD6"/>
    <w:rsid w:val="006D1D8A"/>
    <w:rsid w:val="006D1FF0"/>
    <w:rsid w:val="006D21B8"/>
    <w:rsid w:val="006D22DD"/>
    <w:rsid w:val="006D238D"/>
    <w:rsid w:val="006D23E5"/>
    <w:rsid w:val="006D249F"/>
    <w:rsid w:val="006D24FF"/>
    <w:rsid w:val="006D2758"/>
    <w:rsid w:val="006D277E"/>
    <w:rsid w:val="006D27BB"/>
    <w:rsid w:val="006D27EA"/>
    <w:rsid w:val="006D2814"/>
    <w:rsid w:val="006D2910"/>
    <w:rsid w:val="006D2A79"/>
    <w:rsid w:val="006D2A87"/>
    <w:rsid w:val="006D2AFC"/>
    <w:rsid w:val="006D2BB6"/>
    <w:rsid w:val="006D2BBF"/>
    <w:rsid w:val="006D2BD2"/>
    <w:rsid w:val="006D2BE4"/>
    <w:rsid w:val="006D2C9F"/>
    <w:rsid w:val="006D2CBE"/>
    <w:rsid w:val="006D2CE0"/>
    <w:rsid w:val="006D2CE5"/>
    <w:rsid w:val="006D2D2E"/>
    <w:rsid w:val="006D2F36"/>
    <w:rsid w:val="006D30C4"/>
    <w:rsid w:val="006D32AF"/>
    <w:rsid w:val="006D32D1"/>
    <w:rsid w:val="006D3415"/>
    <w:rsid w:val="006D3570"/>
    <w:rsid w:val="006D3593"/>
    <w:rsid w:val="006D3800"/>
    <w:rsid w:val="006D3979"/>
    <w:rsid w:val="006D3A54"/>
    <w:rsid w:val="006D3B04"/>
    <w:rsid w:val="006D3C01"/>
    <w:rsid w:val="006D3C55"/>
    <w:rsid w:val="006D3C72"/>
    <w:rsid w:val="006D3C73"/>
    <w:rsid w:val="006D3D23"/>
    <w:rsid w:val="006D4127"/>
    <w:rsid w:val="006D41F0"/>
    <w:rsid w:val="006D437D"/>
    <w:rsid w:val="006D4497"/>
    <w:rsid w:val="006D4544"/>
    <w:rsid w:val="006D45BE"/>
    <w:rsid w:val="006D4636"/>
    <w:rsid w:val="006D4681"/>
    <w:rsid w:val="006D489F"/>
    <w:rsid w:val="006D48B0"/>
    <w:rsid w:val="006D48E6"/>
    <w:rsid w:val="006D4943"/>
    <w:rsid w:val="006D49A3"/>
    <w:rsid w:val="006D4B08"/>
    <w:rsid w:val="006D4E00"/>
    <w:rsid w:val="006D4E6F"/>
    <w:rsid w:val="006D4E8A"/>
    <w:rsid w:val="006D4F3F"/>
    <w:rsid w:val="006D4FE9"/>
    <w:rsid w:val="006D5085"/>
    <w:rsid w:val="006D5110"/>
    <w:rsid w:val="006D5143"/>
    <w:rsid w:val="006D5392"/>
    <w:rsid w:val="006D560C"/>
    <w:rsid w:val="006D569B"/>
    <w:rsid w:val="006D5785"/>
    <w:rsid w:val="006D5A51"/>
    <w:rsid w:val="006D5AF7"/>
    <w:rsid w:val="006D5B0E"/>
    <w:rsid w:val="006D5C43"/>
    <w:rsid w:val="006D5D38"/>
    <w:rsid w:val="006D60E2"/>
    <w:rsid w:val="006D6175"/>
    <w:rsid w:val="006D617B"/>
    <w:rsid w:val="006D61B8"/>
    <w:rsid w:val="006D626D"/>
    <w:rsid w:val="006D642C"/>
    <w:rsid w:val="006D6461"/>
    <w:rsid w:val="006D6550"/>
    <w:rsid w:val="006D662A"/>
    <w:rsid w:val="006D66B6"/>
    <w:rsid w:val="006D674C"/>
    <w:rsid w:val="006D6783"/>
    <w:rsid w:val="006D67CA"/>
    <w:rsid w:val="006D6922"/>
    <w:rsid w:val="006D6932"/>
    <w:rsid w:val="006D69E4"/>
    <w:rsid w:val="006D6A08"/>
    <w:rsid w:val="006D6ACB"/>
    <w:rsid w:val="006D6B05"/>
    <w:rsid w:val="006D6D29"/>
    <w:rsid w:val="006D6E6E"/>
    <w:rsid w:val="006D6E76"/>
    <w:rsid w:val="006D7047"/>
    <w:rsid w:val="006D724E"/>
    <w:rsid w:val="006D728D"/>
    <w:rsid w:val="006D7313"/>
    <w:rsid w:val="006D7386"/>
    <w:rsid w:val="006D746E"/>
    <w:rsid w:val="006D76CC"/>
    <w:rsid w:val="006D789E"/>
    <w:rsid w:val="006D78AE"/>
    <w:rsid w:val="006D7A02"/>
    <w:rsid w:val="006D7A42"/>
    <w:rsid w:val="006D7CAF"/>
    <w:rsid w:val="006D7E1B"/>
    <w:rsid w:val="006D7F0A"/>
    <w:rsid w:val="006D7F1A"/>
    <w:rsid w:val="006D7FF0"/>
    <w:rsid w:val="006E003B"/>
    <w:rsid w:val="006E01B8"/>
    <w:rsid w:val="006E01FB"/>
    <w:rsid w:val="006E026B"/>
    <w:rsid w:val="006E03A4"/>
    <w:rsid w:val="006E0422"/>
    <w:rsid w:val="006E0593"/>
    <w:rsid w:val="006E05AC"/>
    <w:rsid w:val="006E06A7"/>
    <w:rsid w:val="006E070D"/>
    <w:rsid w:val="006E071F"/>
    <w:rsid w:val="006E07D5"/>
    <w:rsid w:val="006E0890"/>
    <w:rsid w:val="006E0907"/>
    <w:rsid w:val="006E09AA"/>
    <w:rsid w:val="006E09CE"/>
    <w:rsid w:val="006E0C8F"/>
    <w:rsid w:val="006E0E04"/>
    <w:rsid w:val="006E0E1B"/>
    <w:rsid w:val="006E0E25"/>
    <w:rsid w:val="006E1085"/>
    <w:rsid w:val="006E10EE"/>
    <w:rsid w:val="006E1134"/>
    <w:rsid w:val="006E117E"/>
    <w:rsid w:val="006E1230"/>
    <w:rsid w:val="006E1288"/>
    <w:rsid w:val="006E128A"/>
    <w:rsid w:val="006E12DF"/>
    <w:rsid w:val="006E1436"/>
    <w:rsid w:val="006E14DA"/>
    <w:rsid w:val="006E16CF"/>
    <w:rsid w:val="006E176F"/>
    <w:rsid w:val="006E17B6"/>
    <w:rsid w:val="006E17D1"/>
    <w:rsid w:val="006E1830"/>
    <w:rsid w:val="006E1890"/>
    <w:rsid w:val="006E199A"/>
    <w:rsid w:val="006E1A81"/>
    <w:rsid w:val="006E1B78"/>
    <w:rsid w:val="006E1D65"/>
    <w:rsid w:val="006E1D7B"/>
    <w:rsid w:val="006E1DC1"/>
    <w:rsid w:val="006E1EA9"/>
    <w:rsid w:val="006E1F23"/>
    <w:rsid w:val="006E1F64"/>
    <w:rsid w:val="006E22C2"/>
    <w:rsid w:val="006E22E2"/>
    <w:rsid w:val="006E2369"/>
    <w:rsid w:val="006E253E"/>
    <w:rsid w:val="006E2583"/>
    <w:rsid w:val="006E25F9"/>
    <w:rsid w:val="006E2673"/>
    <w:rsid w:val="006E29D8"/>
    <w:rsid w:val="006E2ACE"/>
    <w:rsid w:val="006E2AE0"/>
    <w:rsid w:val="006E2AF3"/>
    <w:rsid w:val="006E2B02"/>
    <w:rsid w:val="006E2B18"/>
    <w:rsid w:val="006E2B76"/>
    <w:rsid w:val="006E2BC1"/>
    <w:rsid w:val="006E2C0B"/>
    <w:rsid w:val="006E2D2A"/>
    <w:rsid w:val="006E2F45"/>
    <w:rsid w:val="006E31E8"/>
    <w:rsid w:val="006E329D"/>
    <w:rsid w:val="006E3362"/>
    <w:rsid w:val="006E33BB"/>
    <w:rsid w:val="006E353E"/>
    <w:rsid w:val="006E3675"/>
    <w:rsid w:val="006E37E2"/>
    <w:rsid w:val="006E39F2"/>
    <w:rsid w:val="006E3CAF"/>
    <w:rsid w:val="006E3CC3"/>
    <w:rsid w:val="006E3EB9"/>
    <w:rsid w:val="006E3EFA"/>
    <w:rsid w:val="006E3F67"/>
    <w:rsid w:val="006E406C"/>
    <w:rsid w:val="006E40BA"/>
    <w:rsid w:val="006E40E5"/>
    <w:rsid w:val="006E40E7"/>
    <w:rsid w:val="006E4588"/>
    <w:rsid w:val="006E45B0"/>
    <w:rsid w:val="006E4643"/>
    <w:rsid w:val="006E4743"/>
    <w:rsid w:val="006E47F4"/>
    <w:rsid w:val="006E48B6"/>
    <w:rsid w:val="006E49CA"/>
    <w:rsid w:val="006E4A62"/>
    <w:rsid w:val="006E4C8C"/>
    <w:rsid w:val="006E4CAD"/>
    <w:rsid w:val="006E4D9F"/>
    <w:rsid w:val="006E4E05"/>
    <w:rsid w:val="006E4E27"/>
    <w:rsid w:val="006E4EB0"/>
    <w:rsid w:val="006E4FC0"/>
    <w:rsid w:val="006E53E5"/>
    <w:rsid w:val="006E5618"/>
    <w:rsid w:val="006E5672"/>
    <w:rsid w:val="006E5755"/>
    <w:rsid w:val="006E57C0"/>
    <w:rsid w:val="006E587E"/>
    <w:rsid w:val="006E588B"/>
    <w:rsid w:val="006E58D3"/>
    <w:rsid w:val="006E58DA"/>
    <w:rsid w:val="006E5A01"/>
    <w:rsid w:val="006E5CD4"/>
    <w:rsid w:val="006E5D9B"/>
    <w:rsid w:val="006E5E12"/>
    <w:rsid w:val="006E5E39"/>
    <w:rsid w:val="006E5E3D"/>
    <w:rsid w:val="006E5E6B"/>
    <w:rsid w:val="006E5F7B"/>
    <w:rsid w:val="006E5FD9"/>
    <w:rsid w:val="006E6008"/>
    <w:rsid w:val="006E6259"/>
    <w:rsid w:val="006E62F3"/>
    <w:rsid w:val="006E63C1"/>
    <w:rsid w:val="006E65BD"/>
    <w:rsid w:val="006E6896"/>
    <w:rsid w:val="006E68EB"/>
    <w:rsid w:val="006E69C0"/>
    <w:rsid w:val="006E6B3A"/>
    <w:rsid w:val="006E6B80"/>
    <w:rsid w:val="006E6C0B"/>
    <w:rsid w:val="006E6D56"/>
    <w:rsid w:val="006E6E88"/>
    <w:rsid w:val="006E6EFF"/>
    <w:rsid w:val="006E6F4E"/>
    <w:rsid w:val="006E6F84"/>
    <w:rsid w:val="006E6F85"/>
    <w:rsid w:val="006E6FE5"/>
    <w:rsid w:val="006E7052"/>
    <w:rsid w:val="006E7357"/>
    <w:rsid w:val="006E73D8"/>
    <w:rsid w:val="006E75A9"/>
    <w:rsid w:val="006E75F1"/>
    <w:rsid w:val="006E77FA"/>
    <w:rsid w:val="006E7857"/>
    <w:rsid w:val="006E7898"/>
    <w:rsid w:val="006E7947"/>
    <w:rsid w:val="006E795F"/>
    <w:rsid w:val="006E798B"/>
    <w:rsid w:val="006E7A21"/>
    <w:rsid w:val="006E7ACD"/>
    <w:rsid w:val="006F0194"/>
    <w:rsid w:val="006F080F"/>
    <w:rsid w:val="006F0841"/>
    <w:rsid w:val="006F097B"/>
    <w:rsid w:val="006F09FE"/>
    <w:rsid w:val="006F0A35"/>
    <w:rsid w:val="006F0CB7"/>
    <w:rsid w:val="006F0D2D"/>
    <w:rsid w:val="006F0EE4"/>
    <w:rsid w:val="006F0F18"/>
    <w:rsid w:val="006F0F35"/>
    <w:rsid w:val="006F103D"/>
    <w:rsid w:val="006F1284"/>
    <w:rsid w:val="006F1300"/>
    <w:rsid w:val="006F14A3"/>
    <w:rsid w:val="006F14C0"/>
    <w:rsid w:val="006F1516"/>
    <w:rsid w:val="006F1585"/>
    <w:rsid w:val="006F17CF"/>
    <w:rsid w:val="006F18F6"/>
    <w:rsid w:val="006F19C6"/>
    <w:rsid w:val="006F1A2E"/>
    <w:rsid w:val="006F1AC0"/>
    <w:rsid w:val="006F1C4C"/>
    <w:rsid w:val="006F1E41"/>
    <w:rsid w:val="006F1F2C"/>
    <w:rsid w:val="006F201C"/>
    <w:rsid w:val="006F239D"/>
    <w:rsid w:val="006F2429"/>
    <w:rsid w:val="006F2453"/>
    <w:rsid w:val="006F2606"/>
    <w:rsid w:val="006F266E"/>
    <w:rsid w:val="006F2782"/>
    <w:rsid w:val="006F2876"/>
    <w:rsid w:val="006F288F"/>
    <w:rsid w:val="006F291E"/>
    <w:rsid w:val="006F29F8"/>
    <w:rsid w:val="006F29FB"/>
    <w:rsid w:val="006F2C09"/>
    <w:rsid w:val="006F2D29"/>
    <w:rsid w:val="006F2DAA"/>
    <w:rsid w:val="006F2E23"/>
    <w:rsid w:val="006F2ECF"/>
    <w:rsid w:val="006F33E2"/>
    <w:rsid w:val="006F33EC"/>
    <w:rsid w:val="006F3610"/>
    <w:rsid w:val="006F3707"/>
    <w:rsid w:val="006F3852"/>
    <w:rsid w:val="006F3853"/>
    <w:rsid w:val="006F39E5"/>
    <w:rsid w:val="006F3B54"/>
    <w:rsid w:val="006F3C6F"/>
    <w:rsid w:val="006F3D65"/>
    <w:rsid w:val="006F3DAE"/>
    <w:rsid w:val="006F3EC3"/>
    <w:rsid w:val="006F3ED8"/>
    <w:rsid w:val="006F3F9A"/>
    <w:rsid w:val="006F41A7"/>
    <w:rsid w:val="006F42BE"/>
    <w:rsid w:val="006F43A7"/>
    <w:rsid w:val="006F44B1"/>
    <w:rsid w:val="006F44BE"/>
    <w:rsid w:val="006F458C"/>
    <w:rsid w:val="006F4649"/>
    <w:rsid w:val="006F46CE"/>
    <w:rsid w:val="006F46E8"/>
    <w:rsid w:val="006F4718"/>
    <w:rsid w:val="006F47D4"/>
    <w:rsid w:val="006F4840"/>
    <w:rsid w:val="006F4921"/>
    <w:rsid w:val="006F496C"/>
    <w:rsid w:val="006F4A82"/>
    <w:rsid w:val="006F4B39"/>
    <w:rsid w:val="006F4B3F"/>
    <w:rsid w:val="006F4C50"/>
    <w:rsid w:val="006F4DF7"/>
    <w:rsid w:val="006F4F23"/>
    <w:rsid w:val="006F54EC"/>
    <w:rsid w:val="006F550D"/>
    <w:rsid w:val="006F5607"/>
    <w:rsid w:val="006F5946"/>
    <w:rsid w:val="006F5954"/>
    <w:rsid w:val="006F597C"/>
    <w:rsid w:val="006F59E1"/>
    <w:rsid w:val="006F5A65"/>
    <w:rsid w:val="006F5BC0"/>
    <w:rsid w:val="006F5E0F"/>
    <w:rsid w:val="006F5FAB"/>
    <w:rsid w:val="006F5FC8"/>
    <w:rsid w:val="006F5FDB"/>
    <w:rsid w:val="006F60C4"/>
    <w:rsid w:val="006F6164"/>
    <w:rsid w:val="006F6184"/>
    <w:rsid w:val="006F61AB"/>
    <w:rsid w:val="006F62AC"/>
    <w:rsid w:val="006F62EB"/>
    <w:rsid w:val="006F62FD"/>
    <w:rsid w:val="006F638C"/>
    <w:rsid w:val="006F63B1"/>
    <w:rsid w:val="006F6416"/>
    <w:rsid w:val="006F647B"/>
    <w:rsid w:val="006F64B3"/>
    <w:rsid w:val="006F64CF"/>
    <w:rsid w:val="006F65AB"/>
    <w:rsid w:val="006F65F0"/>
    <w:rsid w:val="006F6719"/>
    <w:rsid w:val="006F67EF"/>
    <w:rsid w:val="006F6853"/>
    <w:rsid w:val="006F68A4"/>
    <w:rsid w:val="006F6954"/>
    <w:rsid w:val="006F699C"/>
    <w:rsid w:val="006F6A5B"/>
    <w:rsid w:val="006F6A99"/>
    <w:rsid w:val="006F6B43"/>
    <w:rsid w:val="006F6CD9"/>
    <w:rsid w:val="006F6EB7"/>
    <w:rsid w:val="006F6F9E"/>
    <w:rsid w:val="006F70C0"/>
    <w:rsid w:val="006F712C"/>
    <w:rsid w:val="006F73A1"/>
    <w:rsid w:val="006F7635"/>
    <w:rsid w:val="006F76E2"/>
    <w:rsid w:val="006F771F"/>
    <w:rsid w:val="006F776E"/>
    <w:rsid w:val="006F77CB"/>
    <w:rsid w:val="006F7A58"/>
    <w:rsid w:val="006F7B11"/>
    <w:rsid w:val="006F7B80"/>
    <w:rsid w:val="006F7C7B"/>
    <w:rsid w:val="006F7D08"/>
    <w:rsid w:val="006F7E70"/>
    <w:rsid w:val="006F7F59"/>
    <w:rsid w:val="006F7FCF"/>
    <w:rsid w:val="007000EC"/>
    <w:rsid w:val="00700236"/>
    <w:rsid w:val="00700280"/>
    <w:rsid w:val="00700305"/>
    <w:rsid w:val="007003D6"/>
    <w:rsid w:val="00700622"/>
    <w:rsid w:val="0070068F"/>
    <w:rsid w:val="007006C8"/>
    <w:rsid w:val="0070070A"/>
    <w:rsid w:val="00700896"/>
    <w:rsid w:val="0070096D"/>
    <w:rsid w:val="00700B3D"/>
    <w:rsid w:val="00700C11"/>
    <w:rsid w:val="00700C6B"/>
    <w:rsid w:val="00700CAB"/>
    <w:rsid w:val="00700DC6"/>
    <w:rsid w:val="00700F77"/>
    <w:rsid w:val="00700FEC"/>
    <w:rsid w:val="00701008"/>
    <w:rsid w:val="007010DA"/>
    <w:rsid w:val="00701141"/>
    <w:rsid w:val="00701574"/>
    <w:rsid w:val="00701631"/>
    <w:rsid w:val="007016D0"/>
    <w:rsid w:val="0070170B"/>
    <w:rsid w:val="00701757"/>
    <w:rsid w:val="007017BA"/>
    <w:rsid w:val="00701856"/>
    <w:rsid w:val="0070187E"/>
    <w:rsid w:val="00701906"/>
    <w:rsid w:val="00701CAB"/>
    <w:rsid w:val="00701CD5"/>
    <w:rsid w:val="00702029"/>
    <w:rsid w:val="00702046"/>
    <w:rsid w:val="007023C9"/>
    <w:rsid w:val="00702793"/>
    <w:rsid w:val="00702823"/>
    <w:rsid w:val="00702882"/>
    <w:rsid w:val="007029BC"/>
    <w:rsid w:val="00702B0F"/>
    <w:rsid w:val="00702B62"/>
    <w:rsid w:val="00702C48"/>
    <w:rsid w:val="00702CFC"/>
    <w:rsid w:val="00702D0C"/>
    <w:rsid w:val="00703044"/>
    <w:rsid w:val="00703327"/>
    <w:rsid w:val="007035CE"/>
    <w:rsid w:val="007035EA"/>
    <w:rsid w:val="00703727"/>
    <w:rsid w:val="007037E5"/>
    <w:rsid w:val="00703BC3"/>
    <w:rsid w:val="00703D29"/>
    <w:rsid w:val="00703D67"/>
    <w:rsid w:val="00703DD2"/>
    <w:rsid w:val="00703E7B"/>
    <w:rsid w:val="00703ED9"/>
    <w:rsid w:val="00703F9E"/>
    <w:rsid w:val="0070402D"/>
    <w:rsid w:val="0070414C"/>
    <w:rsid w:val="00704171"/>
    <w:rsid w:val="007041DE"/>
    <w:rsid w:val="007042EF"/>
    <w:rsid w:val="0070456E"/>
    <w:rsid w:val="00704614"/>
    <w:rsid w:val="00704735"/>
    <w:rsid w:val="00704A98"/>
    <w:rsid w:val="00704AD3"/>
    <w:rsid w:val="00704B17"/>
    <w:rsid w:val="00704B41"/>
    <w:rsid w:val="00704B51"/>
    <w:rsid w:val="00704E93"/>
    <w:rsid w:val="00704F96"/>
    <w:rsid w:val="00705039"/>
    <w:rsid w:val="007053F3"/>
    <w:rsid w:val="00705466"/>
    <w:rsid w:val="0070564E"/>
    <w:rsid w:val="0070572C"/>
    <w:rsid w:val="00705886"/>
    <w:rsid w:val="007058FB"/>
    <w:rsid w:val="00705911"/>
    <w:rsid w:val="00705939"/>
    <w:rsid w:val="0070594B"/>
    <w:rsid w:val="00705A7B"/>
    <w:rsid w:val="00705BB2"/>
    <w:rsid w:val="00705CBC"/>
    <w:rsid w:val="00705DC0"/>
    <w:rsid w:val="00705ED7"/>
    <w:rsid w:val="00705F13"/>
    <w:rsid w:val="00705F64"/>
    <w:rsid w:val="007060FA"/>
    <w:rsid w:val="00706139"/>
    <w:rsid w:val="00706265"/>
    <w:rsid w:val="007062E0"/>
    <w:rsid w:val="007062FB"/>
    <w:rsid w:val="00706349"/>
    <w:rsid w:val="0070635A"/>
    <w:rsid w:val="00706439"/>
    <w:rsid w:val="0070647E"/>
    <w:rsid w:val="0070666E"/>
    <w:rsid w:val="00706719"/>
    <w:rsid w:val="0070672F"/>
    <w:rsid w:val="007067FA"/>
    <w:rsid w:val="0070683C"/>
    <w:rsid w:val="007068A3"/>
    <w:rsid w:val="00706915"/>
    <w:rsid w:val="00706A35"/>
    <w:rsid w:val="00706AB7"/>
    <w:rsid w:val="00706AD8"/>
    <w:rsid w:val="00706B6A"/>
    <w:rsid w:val="00706BE7"/>
    <w:rsid w:val="00706CA9"/>
    <w:rsid w:val="00706D01"/>
    <w:rsid w:val="00706DDD"/>
    <w:rsid w:val="00706E8E"/>
    <w:rsid w:val="00707060"/>
    <w:rsid w:val="00707097"/>
    <w:rsid w:val="007071E3"/>
    <w:rsid w:val="0070720D"/>
    <w:rsid w:val="0070727C"/>
    <w:rsid w:val="007072AF"/>
    <w:rsid w:val="00707315"/>
    <w:rsid w:val="0070746C"/>
    <w:rsid w:val="0070747C"/>
    <w:rsid w:val="00707567"/>
    <w:rsid w:val="0070772E"/>
    <w:rsid w:val="00707998"/>
    <w:rsid w:val="007079B4"/>
    <w:rsid w:val="00707A72"/>
    <w:rsid w:val="00707ACD"/>
    <w:rsid w:val="00707AF2"/>
    <w:rsid w:val="00707BD8"/>
    <w:rsid w:val="00707C63"/>
    <w:rsid w:val="00707D2E"/>
    <w:rsid w:val="00707DB8"/>
    <w:rsid w:val="00707F40"/>
    <w:rsid w:val="007101A7"/>
    <w:rsid w:val="007101DA"/>
    <w:rsid w:val="0071028D"/>
    <w:rsid w:val="00710379"/>
    <w:rsid w:val="007103CE"/>
    <w:rsid w:val="00710407"/>
    <w:rsid w:val="00710445"/>
    <w:rsid w:val="007105B1"/>
    <w:rsid w:val="0071066A"/>
    <w:rsid w:val="00710810"/>
    <w:rsid w:val="00710C5B"/>
    <w:rsid w:val="00710D4D"/>
    <w:rsid w:val="00710D79"/>
    <w:rsid w:val="00710E66"/>
    <w:rsid w:val="00710E70"/>
    <w:rsid w:val="0071104C"/>
    <w:rsid w:val="007110C6"/>
    <w:rsid w:val="007111CC"/>
    <w:rsid w:val="007111F0"/>
    <w:rsid w:val="00711231"/>
    <w:rsid w:val="00711242"/>
    <w:rsid w:val="007113B8"/>
    <w:rsid w:val="00711493"/>
    <w:rsid w:val="007114A6"/>
    <w:rsid w:val="00711645"/>
    <w:rsid w:val="007116ED"/>
    <w:rsid w:val="00711741"/>
    <w:rsid w:val="007117A5"/>
    <w:rsid w:val="00711842"/>
    <w:rsid w:val="00711920"/>
    <w:rsid w:val="00711A11"/>
    <w:rsid w:val="00711A6E"/>
    <w:rsid w:val="00711AC6"/>
    <w:rsid w:val="00711D3E"/>
    <w:rsid w:val="00711E5B"/>
    <w:rsid w:val="00712045"/>
    <w:rsid w:val="007120A4"/>
    <w:rsid w:val="00712143"/>
    <w:rsid w:val="007123C4"/>
    <w:rsid w:val="0071242F"/>
    <w:rsid w:val="0071267F"/>
    <w:rsid w:val="007127A5"/>
    <w:rsid w:val="00712828"/>
    <w:rsid w:val="00712949"/>
    <w:rsid w:val="00712A22"/>
    <w:rsid w:val="00712A7B"/>
    <w:rsid w:val="00712B2B"/>
    <w:rsid w:val="00712EB3"/>
    <w:rsid w:val="00712F17"/>
    <w:rsid w:val="007131C0"/>
    <w:rsid w:val="007131C3"/>
    <w:rsid w:val="0071333C"/>
    <w:rsid w:val="00713403"/>
    <w:rsid w:val="007134B9"/>
    <w:rsid w:val="007136C1"/>
    <w:rsid w:val="00713707"/>
    <w:rsid w:val="007138A8"/>
    <w:rsid w:val="007138DF"/>
    <w:rsid w:val="0071392B"/>
    <w:rsid w:val="00713933"/>
    <w:rsid w:val="007139E4"/>
    <w:rsid w:val="00713C04"/>
    <w:rsid w:val="00713C1B"/>
    <w:rsid w:val="00713C90"/>
    <w:rsid w:val="00713E4F"/>
    <w:rsid w:val="00713E8F"/>
    <w:rsid w:val="00713F8F"/>
    <w:rsid w:val="00714039"/>
    <w:rsid w:val="007142EB"/>
    <w:rsid w:val="00714379"/>
    <w:rsid w:val="007145FA"/>
    <w:rsid w:val="0071467E"/>
    <w:rsid w:val="00714794"/>
    <w:rsid w:val="00714821"/>
    <w:rsid w:val="00714855"/>
    <w:rsid w:val="00714897"/>
    <w:rsid w:val="007149AD"/>
    <w:rsid w:val="007149EB"/>
    <w:rsid w:val="00714AB0"/>
    <w:rsid w:val="00714B8D"/>
    <w:rsid w:val="00714E1B"/>
    <w:rsid w:val="00714ECA"/>
    <w:rsid w:val="00714ED9"/>
    <w:rsid w:val="00714FD4"/>
    <w:rsid w:val="0071500C"/>
    <w:rsid w:val="00715062"/>
    <w:rsid w:val="0071515E"/>
    <w:rsid w:val="0071519F"/>
    <w:rsid w:val="00715292"/>
    <w:rsid w:val="00715379"/>
    <w:rsid w:val="0071547A"/>
    <w:rsid w:val="00715540"/>
    <w:rsid w:val="00715554"/>
    <w:rsid w:val="00715944"/>
    <w:rsid w:val="007159BD"/>
    <w:rsid w:val="00715AB6"/>
    <w:rsid w:val="00715ABD"/>
    <w:rsid w:val="00715AFB"/>
    <w:rsid w:val="00715C67"/>
    <w:rsid w:val="00715CAA"/>
    <w:rsid w:val="00715CC7"/>
    <w:rsid w:val="00715CDB"/>
    <w:rsid w:val="00715D65"/>
    <w:rsid w:val="00715D92"/>
    <w:rsid w:val="00715FCE"/>
    <w:rsid w:val="00716389"/>
    <w:rsid w:val="00716553"/>
    <w:rsid w:val="007165F3"/>
    <w:rsid w:val="0071662F"/>
    <w:rsid w:val="0071681D"/>
    <w:rsid w:val="00716823"/>
    <w:rsid w:val="00716946"/>
    <w:rsid w:val="00716ACF"/>
    <w:rsid w:val="00716C65"/>
    <w:rsid w:val="00716E62"/>
    <w:rsid w:val="00716F14"/>
    <w:rsid w:val="00716F5A"/>
    <w:rsid w:val="00716F5B"/>
    <w:rsid w:val="00716FDF"/>
    <w:rsid w:val="0071702E"/>
    <w:rsid w:val="007170FD"/>
    <w:rsid w:val="007172C6"/>
    <w:rsid w:val="00717450"/>
    <w:rsid w:val="00717477"/>
    <w:rsid w:val="007174B8"/>
    <w:rsid w:val="00717578"/>
    <w:rsid w:val="00717722"/>
    <w:rsid w:val="00717763"/>
    <w:rsid w:val="007177B7"/>
    <w:rsid w:val="007177E5"/>
    <w:rsid w:val="007177E6"/>
    <w:rsid w:val="0071783A"/>
    <w:rsid w:val="00717C52"/>
    <w:rsid w:val="00717C7B"/>
    <w:rsid w:val="00717C92"/>
    <w:rsid w:val="00717D07"/>
    <w:rsid w:val="007200B2"/>
    <w:rsid w:val="007200C3"/>
    <w:rsid w:val="00720296"/>
    <w:rsid w:val="007202F5"/>
    <w:rsid w:val="00720349"/>
    <w:rsid w:val="00720486"/>
    <w:rsid w:val="00720571"/>
    <w:rsid w:val="007206CE"/>
    <w:rsid w:val="007206F4"/>
    <w:rsid w:val="00720736"/>
    <w:rsid w:val="0072086E"/>
    <w:rsid w:val="00720AEB"/>
    <w:rsid w:val="00720B36"/>
    <w:rsid w:val="00720B57"/>
    <w:rsid w:val="00720BF3"/>
    <w:rsid w:val="00720CA8"/>
    <w:rsid w:val="00720CEF"/>
    <w:rsid w:val="00720D26"/>
    <w:rsid w:val="00720D37"/>
    <w:rsid w:val="00720EDC"/>
    <w:rsid w:val="00720F97"/>
    <w:rsid w:val="00721057"/>
    <w:rsid w:val="00721183"/>
    <w:rsid w:val="007212FA"/>
    <w:rsid w:val="0072133F"/>
    <w:rsid w:val="007214B9"/>
    <w:rsid w:val="00721598"/>
    <w:rsid w:val="007215C7"/>
    <w:rsid w:val="0072173B"/>
    <w:rsid w:val="0072178D"/>
    <w:rsid w:val="00721886"/>
    <w:rsid w:val="007218C8"/>
    <w:rsid w:val="00721964"/>
    <w:rsid w:val="00721BBD"/>
    <w:rsid w:val="00721E7D"/>
    <w:rsid w:val="00721F08"/>
    <w:rsid w:val="00721F50"/>
    <w:rsid w:val="00721F9C"/>
    <w:rsid w:val="00722010"/>
    <w:rsid w:val="0072201F"/>
    <w:rsid w:val="00722114"/>
    <w:rsid w:val="007222E8"/>
    <w:rsid w:val="0072276D"/>
    <w:rsid w:val="007228DB"/>
    <w:rsid w:val="00722903"/>
    <w:rsid w:val="00722A59"/>
    <w:rsid w:val="00722A90"/>
    <w:rsid w:val="00722AEE"/>
    <w:rsid w:val="00722B53"/>
    <w:rsid w:val="00722B58"/>
    <w:rsid w:val="00722BA1"/>
    <w:rsid w:val="00722BF8"/>
    <w:rsid w:val="00722C8C"/>
    <w:rsid w:val="00722DCC"/>
    <w:rsid w:val="00722E2A"/>
    <w:rsid w:val="00722EA4"/>
    <w:rsid w:val="00722EA5"/>
    <w:rsid w:val="00722EAC"/>
    <w:rsid w:val="00723047"/>
    <w:rsid w:val="00723231"/>
    <w:rsid w:val="007232B0"/>
    <w:rsid w:val="007233EC"/>
    <w:rsid w:val="007235DC"/>
    <w:rsid w:val="0072386A"/>
    <w:rsid w:val="0072396E"/>
    <w:rsid w:val="00723A30"/>
    <w:rsid w:val="00723C4A"/>
    <w:rsid w:val="00723CDD"/>
    <w:rsid w:val="00723D21"/>
    <w:rsid w:val="00723D2A"/>
    <w:rsid w:val="00723E9B"/>
    <w:rsid w:val="00723F7B"/>
    <w:rsid w:val="007240FE"/>
    <w:rsid w:val="0072411F"/>
    <w:rsid w:val="007241BF"/>
    <w:rsid w:val="007241DB"/>
    <w:rsid w:val="00724259"/>
    <w:rsid w:val="00724276"/>
    <w:rsid w:val="00724314"/>
    <w:rsid w:val="00724477"/>
    <w:rsid w:val="007244E6"/>
    <w:rsid w:val="007245B1"/>
    <w:rsid w:val="0072489A"/>
    <w:rsid w:val="007249BA"/>
    <w:rsid w:val="007249F5"/>
    <w:rsid w:val="00724D61"/>
    <w:rsid w:val="00724E5F"/>
    <w:rsid w:val="00724E98"/>
    <w:rsid w:val="007251A3"/>
    <w:rsid w:val="00725279"/>
    <w:rsid w:val="00725325"/>
    <w:rsid w:val="0072533E"/>
    <w:rsid w:val="007256DC"/>
    <w:rsid w:val="00725798"/>
    <w:rsid w:val="007259D7"/>
    <w:rsid w:val="00725ACB"/>
    <w:rsid w:val="007261E2"/>
    <w:rsid w:val="0072622A"/>
    <w:rsid w:val="007263C2"/>
    <w:rsid w:val="00726433"/>
    <w:rsid w:val="00726481"/>
    <w:rsid w:val="007264EA"/>
    <w:rsid w:val="0072659C"/>
    <w:rsid w:val="007265F1"/>
    <w:rsid w:val="007266B2"/>
    <w:rsid w:val="00726A0C"/>
    <w:rsid w:val="00726A4C"/>
    <w:rsid w:val="00726A63"/>
    <w:rsid w:val="00726AC8"/>
    <w:rsid w:val="00726B8D"/>
    <w:rsid w:val="00726C99"/>
    <w:rsid w:val="00726CA6"/>
    <w:rsid w:val="00726CEB"/>
    <w:rsid w:val="00726DDE"/>
    <w:rsid w:val="00726DF8"/>
    <w:rsid w:val="007271BF"/>
    <w:rsid w:val="00727252"/>
    <w:rsid w:val="00727338"/>
    <w:rsid w:val="00727438"/>
    <w:rsid w:val="007274A7"/>
    <w:rsid w:val="007274D1"/>
    <w:rsid w:val="00727542"/>
    <w:rsid w:val="007275C6"/>
    <w:rsid w:val="00727847"/>
    <w:rsid w:val="00727995"/>
    <w:rsid w:val="00727A41"/>
    <w:rsid w:val="00727B0F"/>
    <w:rsid w:val="00727CC3"/>
    <w:rsid w:val="00727DFA"/>
    <w:rsid w:val="00727E5B"/>
    <w:rsid w:val="00730561"/>
    <w:rsid w:val="007307F0"/>
    <w:rsid w:val="00730976"/>
    <w:rsid w:val="00730A17"/>
    <w:rsid w:val="00730D01"/>
    <w:rsid w:val="00730E31"/>
    <w:rsid w:val="00730EA1"/>
    <w:rsid w:val="00730EFB"/>
    <w:rsid w:val="00730F4A"/>
    <w:rsid w:val="007310CE"/>
    <w:rsid w:val="0073115D"/>
    <w:rsid w:val="007311EF"/>
    <w:rsid w:val="0073144E"/>
    <w:rsid w:val="00731454"/>
    <w:rsid w:val="00731458"/>
    <w:rsid w:val="00731506"/>
    <w:rsid w:val="00731533"/>
    <w:rsid w:val="007315E0"/>
    <w:rsid w:val="00731694"/>
    <w:rsid w:val="00731696"/>
    <w:rsid w:val="00731774"/>
    <w:rsid w:val="00731986"/>
    <w:rsid w:val="00731B0A"/>
    <w:rsid w:val="00731B14"/>
    <w:rsid w:val="00731B9F"/>
    <w:rsid w:val="00731BBE"/>
    <w:rsid w:val="00731CA2"/>
    <w:rsid w:val="00731DC5"/>
    <w:rsid w:val="00731E7C"/>
    <w:rsid w:val="00731EA3"/>
    <w:rsid w:val="00731F53"/>
    <w:rsid w:val="00732023"/>
    <w:rsid w:val="0073205B"/>
    <w:rsid w:val="00732063"/>
    <w:rsid w:val="007320AC"/>
    <w:rsid w:val="00732195"/>
    <w:rsid w:val="00732247"/>
    <w:rsid w:val="00732277"/>
    <w:rsid w:val="007322B9"/>
    <w:rsid w:val="00732362"/>
    <w:rsid w:val="0073257F"/>
    <w:rsid w:val="00732597"/>
    <w:rsid w:val="00732701"/>
    <w:rsid w:val="0073270F"/>
    <w:rsid w:val="007327AE"/>
    <w:rsid w:val="00732873"/>
    <w:rsid w:val="007328EF"/>
    <w:rsid w:val="007329B6"/>
    <w:rsid w:val="00732A98"/>
    <w:rsid w:val="00732AB8"/>
    <w:rsid w:val="00732B30"/>
    <w:rsid w:val="00732B5C"/>
    <w:rsid w:val="00732BED"/>
    <w:rsid w:val="00732CC9"/>
    <w:rsid w:val="00732DA8"/>
    <w:rsid w:val="00732DE2"/>
    <w:rsid w:val="00732E13"/>
    <w:rsid w:val="00732FAF"/>
    <w:rsid w:val="00732FE1"/>
    <w:rsid w:val="00732FF3"/>
    <w:rsid w:val="00733055"/>
    <w:rsid w:val="0073313C"/>
    <w:rsid w:val="0073318D"/>
    <w:rsid w:val="00733246"/>
    <w:rsid w:val="00733264"/>
    <w:rsid w:val="00733541"/>
    <w:rsid w:val="00733592"/>
    <w:rsid w:val="0073365D"/>
    <w:rsid w:val="007336D3"/>
    <w:rsid w:val="00733700"/>
    <w:rsid w:val="0073376F"/>
    <w:rsid w:val="00733A80"/>
    <w:rsid w:val="00733CDD"/>
    <w:rsid w:val="00733D1A"/>
    <w:rsid w:val="00733DF6"/>
    <w:rsid w:val="00733E50"/>
    <w:rsid w:val="00733FAC"/>
    <w:rsid w:val="007340C9"/>
    <w:rsid w:val="00734179"/>
    <w:rsid w:val="00734240"/>
    <w:rsid w:val="00734429"/>
    <w:rsid w:val="007344E4"/>
    <w:rsid w:val="007345AF"/>
    <w:rsid w:val="00734632"/>
    <w:rsid w:val="0073477C"/>
    <w:rsid w:val="007347E4"/>
    <w:rsid w:val="007347FF"/>
    <w:rsid w:val="00734841"/>
    <w:rsid w:val="0073485E"/>
    <w:rsid w:val="007348AA"/>
    <w:rsid w:val="007349AF"/>
    <w:rsid w:val="00734B10"/>
    <w:rsid w:val="00734B41"/>
    <w:rsid w:val="00734B56"/>
    <w:rsid w:val="00734C4B"/>
    <w:rsid w:val="00734DA8"/>
    <w:rsid w:val="00734E47"/>
    <w:rsid w:val="00734F4C"/>
    <w:rsid w:val="00734FF5"/>
    <w:rsid w:val="00735092"/>
    <w:rsid w:val="007350B2"/>
    <w:rsid w:val="007351B2"/>
    <w:rsid w:val="0073527B"/>
    <w:rsid w:val="007352BE"/>
    <w:rsid w:val="007352C5"/>
    <w:rsid w:val="00735441"/>
    <w:rsid w:val="0073552C"/>
    <w:rsid w:val="007355FB"/>
    <w:rsid w:val="0073589B"/>
    <w:rsid w:val="0073598A"/>
    <w:rsid w:val="00735A38"/>
    <w:rsid w:val="00735A45"/>
    <w:rsid w:val="00735DFB"/>
    <w:rsid w:val="0073621D"/>
    <w:rsid w:val="00736261"/>
    <w:rsid w:val="007362DA"/>
    <w:rsid w:val="0073642F"/>
    <w:rsid w:val="00736468"/>
    <w:rsid w:val="007364C7"/>
    <w:rsid w:val="00736579"/>
    <w:rsid w:val="0073669E"/>
    <w:rsid w:val="007367B4"/>
    <w:rsid w:val="007368D2"/>
    <w:rsid w:val="007369CF"/>
    <w:rsid w:val="007369DD"/>
    <w:rsid w:val="00736A2B"/>
    <w:rsid w:val="00736BEC"/>
    <w:rsid w:val="00736CCE"/>
    <w:rsid w:val="00736E34"/>
    <w:rsid w:val="00736EE0"/>
    <w:rsid w:val="00736F34"/>
    <w:rsid w:val="00736F6E"/>
    <w:rsid w:val="00736F72"/>
    <w:rsid w:val="00737001"/>
    <w:rsid w:val="007370D5"/>
    <w:rsid w:val="007370F7"/>
    <w:rsid w:val="0073730C"/>
    <w:rsid w:val="0073736C"/>
    <w:rsid w:val="00737390"/>
    <w:rsid w:val="00737437"/>
    <w:rsid w:val="007374D0"/>
    <w:rsid w:val="007374F9"/>
    <w:rsid w:val="0073778C"/>
    <w:rsid w:val="00737AE8"/>
    <w:rsid w:val="00737B49"/>
    <w:rsid w:val="00737E60"/>
    <w:rsid w:val="00737F4E"/>
    <w:rsid w:val="00740189"/>
    <w:rsid w:val="007402C3"/>
    <w:rsid w:val="0074045B"/>
    <w:rsid w:val="0074050F"/>
    <w:rsid w:val="007405F5"/>
    <w:rsid w:val="00740635"/>
    <w:rsid w:val="00740722"/>
    <w:rsid w:val="007407A8"/>
    <w:rsid w:val="007407B7"/>
    <w:rsid w:val="007407B9"/>
    <w:rsid w:val="007407CD"/>
    <w:rsid w:val="00740899"/>
    <w:rsid w:val="007408C5"/>
    <w:rsid w:val="0074096E"/>
    <w:rsid w:val="007409A0"/>
    <w:rsid w:val="007409B3"/>
    <w:rsid w:val="007409E0"/>
    <w:rsid w:val="00740A82"/>
    <w:rsid w:val="00740AA9"/>
    <w:rsid w:val="00740AF7"/>
    <w:rsid w:val="00740C6E"/>
    <w:rsid w:val="00740CB7"/>
    <w:rsid w:val="00740D0D"/>
    <w:rsid w:val="00740D8E"/>
    <w:rsid w:val="00740F93"/>
    <w:rsid w:val="00740FA4"/>
    <w:rsid w:val="00740FC3"/>
    <w:rsid w:val="00741100"/>
    <w:rsid w:val="0074122F"/>
    <w:rsid w:val="00741371"/>
    <w:rsid w:val="00741494"/>
    <w:rsid w:val="007414B8"/>
    <w:rsid w:val="007414D2"/>
    <w:rsid w:val="007415C3"/>
    <w:rsid w:val="00741687"/>
    <w:rsid w:val="007416C8"/>
    <w:rsid w:val="00741787"/>
    <w:rsid w:val="007417C4"/>
    <w:rsid w:val="00741813"/>
    <w:rsid w:val="00741874"/>
    <w:rsid w:val="00741882"/>
    <w:rsid w:val="007418F0"/>
    <w:rsid w:val="00741935"/>
    <w:rsid w:val="00741960"/>
    <w:rsid w:val="00741CC1"/>
    <w:rsid w:val="00741E66"/>
    <w:rsid w:val="0074201D"/>
    <w:rsid w:val="0074219C"/>
    <w:rsid w:val="007421D5"/>
    <w:rsid w:val="00742366"/>
    <w:rsid w:val="00742449"/>
    <w:rsid w:val="00742481"/>
    <w:rsid w:val="00742561"/>
    <w:rsid w:val="0074260A"/>
    <w:rsid w:val="007428CE"/>
    <w:rsid w:val="007428D8"/>
    <w:rsid w:val="00742A64"/>
    <w:rsid w:val="00742B5B"/>
    <w:rsid w:val="00742BBA"/>
    <w:rsid w:val="00742BE2"/>
    <w:rsid w:val="00742E67"/>
    <w:rsid w:val="00742F5C"/>
    <w:rsid w:val="00743036"/>
    <w:rsid w:val="00743104"/>
    <w:rsid w:val="0074312F"/>
    <w:rsid w:val="00743378"/>
    <w:rsid w:val="007433EF"/>
    <w:rsid w:val="00743494"/>
    <w:rsid w:val="0074349C"/>
    <w:rsid w:val="0074353C"/>
    <w:rsid w:val="0074358B"/>
    <w:rsid w:val="007435B3"/>
    <w:rsid w:val="007435CF"/>
    <w:rsid w:val="0074391F"/>
    <w:rsid w:val="00743930"/>
    <w:rsid w:val="00743A78"/>
    <w:rsid w:val="00743A7F"/>
    <w:rsid w:val="00743D02"/>
    <w:rsid w:val="00743D2B"/>
    <w:rsid w:val="00744003"/>
    <w:rsid w:val="00744050"/>
    <w:rsid w:val="00744135"/>
    <w:rsid w:val="00744160"/>
    <w:rsid w:val="00744360"/>
    <w:rsid w:val="007443E4"/>
    <w:rsid w:val="00744484"/>
    <w:rsid w:val="0074448C"/>
    <w:rsid w:val="0074451B"/>
    <w:rsid w:val="00744642"/>
    <w:rsid w:val="007446D5"/>
    <w:rsid w:val="007449B4"/>
    <w:rsid w:val="00744B23"/>
    <w:rsid w:val="00744B53"/>
    <w:rsid w:val="00744B88"/>
    <w:rsid w:val="00744BC5"/>
    <w:rsid w:val="00744C02"/>
    <w:rsid w:val="00744C80"/>
    <w:rsid w:val="00744D57"/>
    <w:rsid w:val="00744D6A"/>
    <w:rsid w:val="00744F16"/>
    <w:rsid w:val="00744F44"/>
    <w:rsid w:val="00745012"/>
    <w:rsid w:val="007450AD"/>
    <w:rsid w:val="007450DE"/>
    <w:rsid w:val="007450EE"/>
    <w:rsid w:val="00745159"/>
    <w:rsid w:val="0074525F"/>
    <w:rsid w:val="007452D4"/>
    <w:rsid w:val="007458E3"/>
    <w:rsid w:val="00745A63"/>
    <w:rsid w:val="00745BC4"/>
    <w:rsid w:val="00745CFC"/>
    <w:rsid w:val="00745DDB"/>
    <w:rsid w:val="00745F15"/>
    <w:rsid w:val="0074602A"/>
    <w:rsid w:val="00746090"/>
    <w:rsid w:val="0074611C"/>
    <w:rsid w:val="00746250"/>
    <w:rsid w:val="00746519"/>
    <w:rsid w:val="0074678D"/>
    <w:rsid w:val="007467E8"/>
    <w:rsid w:val="007467F3"/>
    <w:rsid w:val="00746A3E"/>
    <w:rsid w:val="00746A45"/>
    <w:rsid w:val="00746B40"/>
    <w:rsid w:val="00746D78"/>
    <w:rsid w:val="00746F81"/>
    <w:rsid w:val="00747052"/>
    <w:rsid w:val="0074710C"/>
    <w:rsid w:val="00747216"/>
    <w:rsid w:val="00747233"/>
    <w:rsid w:val="007472DD"/>
    <w:rsid w:val="00747413"/>
    <w:rsid w:val="0074741D"/>
    <w:rsid w:val="0074756E"/>
    <w:rsid w:val="00747643"/>
    <w:rsid w:val="007476B3"/>
    <w:rsid w:val="007478C5"/>
    <w:rsid w:val="00747997"/>
    <w:rsid w:val="007479C5"/>
    <w:rsid w:val="00747A38"/>
    <w:rsid w:val="00747AAE"/>
    <w:rsid w:val="00747AE5"/>
    <w:rsid w:val="00747B21"/>
    <w:rsid w:val="00747CA4"/>
    <w:rsid w:val="00747D9A"/>
    <w:rsid w:val="00747E89"/>
    <w:rsid w:val="007501F5"/>
    <w:rsid w:val="007503AC"/>
    <w:rsid w:val="007503FB"/>
    <w:rsid w:val="00750440"/>
    <w:rsid w:val="00750639"/>
    <w:rsid w:val="007506D3"/>
    <w:rsid w:val="00750737"/>
    <w:rsid w:val="007508E8"/>
    <w:rsid w:val="0075090B"/>
    <w:rsid w:val="007509DD"/>
    <w:rsid w:val="00750AF5"/>
    <w:rsid w:val="00750B84"/>
    <w:rsid w:val="00750B9C"/>
    <w:rsid w:val="00750BA0"/>
    <w:rsid w:val="00750CBB"/>
    <w:rsid w:val="00750D99"/>
    <w:rsid w:val="00750E46"/>
    <w:rsid w:val="007510A0"/>
    <w:rsid w:val="007511B0"/>
    <w:rsid w:val="0075122F"/>
    <w:rsid w:val="007512F5"/>
    <w:rsid w:val="00751437"/>
    <w:rsid w:val="0075152D"/>
    <w:rsid w:val="00751665"/>
    <w:rsid w:val="007516B1"/>
    <w:rsid w:val="00751701"/>
    <w:rsid w:val="00751BBD"/>
    <w:rsid w:val="00751C42"/>
    <w:rsid w:val="00751CA1"/>
    <w:rsid w:val="00751CA5"/>
    <w:rsid w:val="00751CBA"/>
    <w:rsid w:val="00751CF8"/>
    <w:rsid w:val="00751D70"/>
    <w:rsid w:val="00751D9B"/>
    <w:rsid w:val="00751DC0"/>
    <w:rsid w:val="00751DD4"/>
    <w:rsid w:val="00751F71"/>
    <w:rsid w:val="00751F9A"/>
    <w:rsid w:val="00752094"/>
    <w:rsid w:val="00752112"/>
    <w:rsid w:val="00752132"/>
    <w:rsid w:val="00752199"/>
    <w:rsid w:val="0075222A"/>
    <w:rsid w:val="007522D2"/>
    <w:rsid w:val="00752378"/>
    <w:rsid w:val="00752477"/>
    <w:rsid w:val="007524FE"/>
    <w:rsid w:val="0075265E"/>
    <w:rsid w:val="007527DD"/>
    <w:rsid w:val="00752836"/>
    <w:rsid w:val="007528C5"/>
    <w:rsid w:val="007529B5"/>
    <w:rsid w:val="00752B1A"/>
    <w:rsid w:val="00752C9F"/>
    <w:rsid w:val="00752D0E"/>
    <w:rsid w:val="00752E14"/>
    <w:rsid w:val="00752E95"/>
    <w:rsid w:val="00753140"/>
    <w:rsid w:val="007531E2"/>
    <w:rsid w:val="00753238"/>
    <w:rsid w:val="00753396"/>
    <w:rsid w:val="007536F3"/>
    <w:rsid w:val="0075373A"/>
    <w:rsid w:val="00753804"/>
    <w:rsid w:val="00753832"/>
    <w:rsid w:val="00753957"/>
    <w:rsid w:val="00753B57"/>
    <w:rsid w:val="00753C37"/>
    <w:rsid w:val="00753EBD"/>
    <w:rsid w:val="00753F82"/>
    <w:rsid w:val="00754065"/>
    <w:rsid w:val="007540F6"/>
    <w:rsid w:val="00754140"/>
    <w:rsid w:val="00754154"/>
    <w:rsid w:val="0075415C"/>
    <w:rsid w:val="0075418C"/>
    <w:rsid w:val="007541B3"/>
    <w:rsid w:val="0075422D"/>
    <w:rsid w:val="00754287"/>
    <w:rsid w:val="007543B1"/>
    <w:rsid w:val="007544AA"/>
    <w:rsid w:val="00754605"/>
    <w:rsid w:val="00754656"/>
    <w:rsid w:val="00754660"/>
    <w:rsid w:val="00754745"/>
    <w:rsid w:val="007547ED"/>
    <w:rsid w:val="007548D1"/>
    <w:rsid w:val="00754916"/>
    <w:rsid w:val="00754AB6"/>
    <w:rsid w:val="00754C02"/>
    <w:rsid w:val="00754C2B"/>
    <w:rsid w:val="00754C50"/>
    <w:rsid w:val="00754CB9"/>
    <w:rsid w:val="00754D23"/>
    <w:rsid w:val="00754F63"/>
    <w:rsid w:val="00754F7C"/>
    <w:rsid w:val="0075505A"/>
    <w:rsid w:val="007550CF"/>
    <w:rsid w:val="0075521E"/>
    <w:rsid w:val="00755403"/>
    <w:rsid w:val="0075543B"/>
    <w:rsid w:val="007554BA"/>
    <w:rsid w:val="00755516"/>
    <w:rsid w:val="00755541"/>
    <w:rsid w:val="00755635"/>
    <w:rsid w:val="007556E1"/>
    <w:rsid w:val="0075577B"/>
    <w:rsid w:val="007557FE"/>
    <w:rsid w:val="00755A2A"/>
    <w:rsid w:val="00755B7B"/>
    <w:rsid w:val="00755D48"/>
    <w:rsid w:val="00755DE2"/>
    <w:rsid w:val="00755E3C"/>
    <w:rsid w:val="00755FFD"/>
    <w:rsid w:val="007561AA"/>
    <w:rsid w:val="007563AE"/>
    <w:rsid w:val="00756715"/>
    <w:rsid w:val="0075677E"/>
    <w:rsid w:val="00756868"/>
    <w:rsid w:val="0075694D"/>
    <w:rsid w:val="00756973"/>
    <w:rsid w:val="00756AE1"/>
    <w:rsid w:val="00756BED"/>
    <w:rsid w:val="00756C08"/>
    <w:rsid w:val="00756CE2"/>
    <w:rsid w:val="00756DC1"/>
    <w:rsid w:val="00756F66"/>
    <w:rsid w:val="007571AA"/>
    <w:rsid w:val="00757237"/>
    <w:rsid w:val="00757256"/>
    <w:rsid w:val="0075725F"/>
    <w:rsid w:val="0075728E"/>
    <w:rsid w:val="007573A2"/>
    <w:rsid w:val="007573CB"/>
    <w:rsid w:val="007573F6"/>
    <w:rsid w:val="007574E7"/>
    <w:rsid w:val="00757655"/>
    <w:rsid w:val="007576D0"/>
    <w:rsid w:val="007579D9"/>
    <w:rsid w:val="00757BF3"/>
    <w:rsid w:val="00757C1B"/>
    <w:rsid w:val="00757ECF"/>
    <w:rsid w:val="00757F26"/>
    <w:rsid w:val="00757FA8"/>
    <w:rsid w:val="00757FDB"/>
    <w:rsid w:val="0076003F"/>
    <w:rsid w:val="00760089"/>
    <w:rsid w:val="007600C7"/>
    <w:rsid w:val="007600DB"/>
    <w:rsid w:val="0076011E"/>
    <w:rsid w:val="00760163"/>
    <w:rsid w:val="0076042C"/>
    <w:rsid w:val="007605E8"/>
    <w:rsid w:val="0076062C"/>
    <w:rsid w:val="007606A5"/>
    <w:rsid w:val="007606B6"/>
    <w:rsid w:val="00760832"/>
    <w:rsid w:val="007608DD"/>
    <w:rsid w:val="00760B6A"/>
    <w:rsid w:val="00760CA7"/>
    <w:rsid w:val="00760DB7"/>
    <w:rsid w:val="00760E23"/>
    <w:rsid w:val="00760F34"/>
    <w:rsid w:val="00760FC4"/>
    <w:rsid w:val="00761190"/>
    <w:rsid w:val="00761282"/>
    <w:rsid w:val="007614E5"/>
    <w:rsid w:val="0076160E"/>
    <w:rsid w:val="00761668"/>
    <w:rsid w:val="007616A8"/>
    <w:rsid w:val="00761721"/>
    <w:rsid w:val="0076179D"/>
    <w:rsid w:val="00761854"/>
    <w:rsid w:val="00761873"/>
    <w:rsid w:val="007619B7"/>
    <w:rsid w:val="007619C7"/>
    <w:rsid w:val="007619E4"/>
    <w:rsid w:val="00761A33"/>
    <w:rsid w:val="00761B4A"/>
    <w:rsid w:val="00761CC4"/>
    <w:rsid w:val="00761CE2"/>
    <w:rsid w:val="00761DD9"/>
    <w:rsid w:val="00761E80"/>
    <w:rsid w:val="00761FB1"/>
    <w:rsid w:val="00762045"/>
    <w:rsid w:val="007620A3"/>
    <w:rsid w:val="0076211B"/>
    <w:rsid w:val="00762195"/>
    <w:rsid w:val="007622A8"/>
    <w:rsid w:val="00762300"/>
    <w:rsid w:val="0076245D"/>
    <w:rsid w:val="00762486"/>
    <w:rsid w:val="00762543"/>
    <w:rsid w:val="0076260C"/>
    <w:rsid w:val="00762794"/>
    <w:rsid w:val="007627FC"/>
    <w:rsid w:val="00762858"/>
    <w:rsid w:val="0076288E"/>
    <w:rsid w:val="00762A38"/>
    <w:rsid w:val="00762AF7"/>
    <w:rsid w:val="00762B1B"/>
    <w:rsid w:val="00762B92"/>
    <w:rsid w:val="00762BBB"/>
    <w:rsid w:val="00762E65"/>
    <w:rsid w:val="007631EE"/>
    <w:rsid w:val="0076322B"/>
    <w:rsid w:val="00763237"/>
    <w:rsid w:val="007632E6"/>
    <w:rsid w:val="00763344"/>
    <w:rsid w:val="00763474"/>
    <w:rsid w:val="007634B4"/>
    <w:rsid w:val="00763531"/>
    <w:rsid w:val="007635CB"/>
    <w:rsid w:val="00763641"/>
    <w:rsid w:val="00763725"/>
    <w:rsid w:val="00763972"/>
    <w:rsid w:val="00763A05"/>
    <w:rsid w:val="00763A51"/>
    <w:rsid w:val="00763B20"/>
    <w:rsid w:val="00763B35"/>
    <w:rsid w:val="00763B81"/>
    <w:rsid w:val="00763C1B"/>
    <w:rsid w:val="00763D27"/>
    <w:rsid w:val="00763D87"/>
    <w:rsid w:val="00763EA8"/>
    <w:rsid w:val="00763F43"/>
    <w:rsid w:val="0076407C"/>
    <w:rsid w:val="0076410F"/>
    <w:rsid w:val="0076412A"/>
    <w:rsid w:val="007643A6"/>
    <w:rsid w:val="007643E3"/>
    <w:rsid w:val="0076441B"/>
    <w:rsid w:val="0076452C"/>
    <w:rsid w:val="00764625"/>
    <w:rsid w:val="0076464B"/>
    <w:rsid w:val="007647E7"/>
    <w:rsid w:val="00764883"/>
    <w:rsid w:val="00764A9D"/>
    <w:rsid w:val="00764B39"/>
    <w:rsid w:val="00764B7D"/>
    <w:rsid w:val="00764D6A"/>
    <w:rsid w:val="00764E54"/>
    <w:rsid w:val="007650CF"/>
    <w:rsid w:val="00765303"/>
    <w:rsid w:val="007653E3"/>
    <w:rsid w:val="00765433"/>
    <w:rsid w:val="007654EE"/>
    <w:rsid w:val="00765512"/>
    <w:rsid w:val="00765800"/>
    <w:rsid w:val="00765870"/>
    <w:rsid w:val="0076587A"/>
    <w:rsid w:val="00765A36"/>
    <w:rsid w:val="00765A7D"/>
    <w:rsid w:val="00765A8B"/>
    <w:rsid w:val="00765A8D"/>
    <w:rsid w:val="00765AA1"/>
    <w:rsid w:val="00765B1D"/>
    <w:rsid w:val="00765B65"/>
    <w:rsid w:val="00765B6B"/>
    <w:rsid w:val="00765BA2"/>
    <w:rsid w:val="00765D2C"/>
    <w:rsid w:val="00765DBA"/>
    <w:rsid w:val="00765DE0"/>
    <w:rsid w:val="00765FB5"/>
    <w:rsid w:val="00765FFD"/>
    <w:rsid w:val="00766184"/>
    <w:rsid w:val="007661B2"/>
    <w:rsid w:val="007662E1"/>
    <w:rsid w:val="00766360"/>
    <w:rsid w:val="0076637F"/>
    <w:rsid w:val="007663A3"/>
    <w:rsid w:val="00766512"/>
    <w:rsid w:val="00766545"/>
    <w:rsid w:val="00766679"/>
    <w:rsid w:val="00766698"/>
    <w:rsid w:val="0076690C"/>
    <w:rsid w:val="0076694D"/>
    <w:rsid w:val="00766A0C"/>
    <w:rsid w:val="00766AC4"/>
    <w:rsid w:val="00766ACA"/>
    <w:rsid w:val="00766C52"/>
    <w:rsid w:val="00766CFA"/>
    <w:rsid w:val="00766E2C"/>
    <w:rsid w:val="00766EAA"/>
    <w:rsid w:val="00766F27"/>
    <w:rsid w:val="00766F53"/>
    <w:rsid w:val="00766F9F"/>
    <w:rsid w:val="00766FB0"/>
    <w:rsid w:val="00766FB1"/>
    <w:rsid w:val="007670FD"/>
    <w:rsid w:val="007671A7"/>
    <w:rsid w:val="007671EC"/>
    <w:rsid w:val="00767263"/>
    <w:rsid w:val="00767302"/>
    <w:rsid w:val="007673F3"/>
    <w:rsid w:val="00767486"/>
    <w:rsid w:val="007674B4"/>
    <w:rsid w:val="00767513"/>
    <w:rsid w:val="00767782"/>
    <w:rsid w:val="00767794"/>
    <w:rsid w:val="007677EA"/>
    <w:rsid w:val="00767868"/>
    <w:rsid w:val="0076799D"/>
    <w:rsid w:val="00767A49"/>
    <w:rsid w:val="00767A94"/>
    <w:rsid w:val="00767C06"/>
    <w:rsid w:val="00767E7E"/>
    <w:rsid w:val="00767EF6"/>
    <w:rsid w:val="00767F6A"/>
    <w:rsid w:val="00767F70"/>
    <w:rsid w:val="0077018D"/>
    <w:rsid w:val="007701EB"/>
    <w:rsid w:val="007703BB"/>
    <w:rsid w:val="007703F3"/>
    <w:rsid w:val="0077046A"/>
    <w:rsid w:val="007704A5"/>
    <w:rsid w:val="007705D7"/>
    <w:rsid w:val="0077061C"/>
    <w:rsid w:val="00770706"/>
    <w:rsid w:val="007708F5"/>
    <w:rsid w:val="007709FF"/>
    <w:rsid w:val="00770A3E"/>
    <w:rsid w:val="00770B11"/>
    <w:rsid w:val="00770C58"/>
    <w:rsid w:val="00770C7D"/>
    <w:rsid w:val="00770E80"/>
    <w:rsid w:val="00770E8A"/>
    <w:rsid w:val="00770EC3"/>
    <w:rsid w:val="007713BC"/>
    <w:rsid w:val="00771410"/>
    <w:rsid w:val="007715A1"/>
    <w:rsid w:val="007715A8"/>
    <w:rsid w:val="007716FB"/>
    <w:rsid w:val="007716FF"/>
    <w:rsid w:val="007718E4"/>
    <w:rsid w:val="00771A05"/>
    <w:rsid w:val="00771A97"/>
    <w:rsid w:val="00771AF1"/>
    <w:rsid w:val="00771B55"/>
    <w:rsid w:val="00771CA9"/>
    <w:rsid w:val="00771E63"/>
    <w:rsid w:val="00771E7E"/>
    <w:rsid w:val="0077216C"/>
    <w:rsid w:val="0077219F"/>
    <w:rsid w:val="007721F6"/>
    <w:rsid w:val="00772283"/>
    <w:rsid w:val="0077228A"/>
    <w:rsid w:val="0077229F"/>
    <w:rsid w:val="00772423"/>
    <w:rsid w:val="007727DC"/>
    <w:rsid w:val="007727EB"/>
    <w:rsid w:val="0077283B"/>
    <w:rsid w:val="00772AEE"/>
    <w:rsid w:val="00772B9B"/>
    <w:rsid w:val="00772C09"/>
    <w:rsid w:val="00772CBB"/>
    <w:rsid w:val="00772DEC"/>
    <w:rsid w:val="00772F4F"/>
    <w:rsid w:val="00772F8E"/>
    <w:rsid w:val="00773254"/>
    <w:rsid w:val="007732B3"/>
    <w:rsid w:val="007732D1"/>
    <w:rsid w:val="007732FE"/>
    <w:rsid w:val="007734B7"/>
    <w:rsid w:val="007734F1"/>
    <w:rsid w:val="007735B0"/>
    <w:rsid w:val="0077374E"/>
    <w:rsid w:val="007737AE"/>
    <w:rsid w:val="007738CD"/>
    <w:rsid w:val="00773A0E"/>
    <w:rsid w:val="00773A4D"/>
    <w:rsid w:val="00773AC6"/>
    <w:rsid w:val="00773B74"/>
    <w:rsid w:val="00773BF4"/>
    <w:rsid w:val="00773C72"/>
    <w:rsid w:val="00773C9D"/>
    <w:rsid w:val="00773D25"/>
    <w:rsid w:val="00773E7A"/>
    <w:rsid w:val="007740AB"/>
    <w:rsid w:val="00774115"/>
    <w:rsid w:val="00774260"/>
    <w:rsid w:val="00774583"/>
    <w:rsid w:val="007745CA"/>
    <w:rsid w:val="00774658"/>
    <w:rsid w:val="00774714"/>
    <w:rsid w:val="0077477B"/>
    <w:rsid w:val="00774853"/>
    <w:rsid w:val="00774A08"/>
    <w:rsid w:val="00774A18"/>
    <w:rsid w:val="00774A2C"/>
    <w:rsid w:val="00774A30"/>
    <w:rsid w:val="00774B78"/>
    <w:rsid w:val="00774C51"/>
    <w:rsid w:val="00774E78"/>
    <w:rsid w:val="00774EED"/>
    <w:rsid w:val="00774EEF"/>
    <w:rsid w:val="00774EF5"/>
    <w:rsid w:val="00774F5C"/>
    <w:rsid w:val="007750F3"/>
    <w:rsid w:val="0077517E"/>
    <w:rsid w:val="00775231"/>
    <w:rsid w:val="00775340"/>
    <w:rsid w:val="007753F6"/>
    <w:rsid w:val="0077548D"/>
    <w:rsid w:val="00775538"/>
    <w:rsid w:val="007755C7"/>
    <w:rsid w:val="0077578C"/>
    <w:rsid w:val="0077585A"/>
    <w:rsid w:val="0077595B"/>
    <w:rsid w:val="00775AF2"/>
    <w:rsid w:val="00775BB6"/>
    <w:rsid w:val="00775C26"/>
    <w:rsid w:val="00775D12"/>
    <w:rsid w:val="00775D55"/>
    <w:rsid w:val="00775D66"/>
    <w:rsid w:val="00775E8D"/>
    <w:rsid w:val="00775F4D"/>
    <w:rsid w:val="00775FFE"/>
    <w:rsid w:val="00776024"/>
    <w:rsid w:val="0077611C"/>
    <w:rsid w:val="0077616C"/>
    <w:rsid w:val="0077619C"/>
    <w:rsid w:val="007764AB"/>
    <w:rsid w:val="00776589"/>
    <w:rsid w:val="0077659B"/>
    <w:rsid w:val="00776641"/>
    <w:rsid w:val="0077664B"/>
    <w:rsid w:val="00776901"/>
    <w:rsid w:val="00776912"/>
    <w:rsid w:val="00776974"/>
    <w:rsid w:val="007769B1"/>
    <w:rsid w:val="00776A53"/>
    <w:rsid w:val="00776B38"/>
    <w:rsid w:val="00776CDF"/>
    <w:rsid w:val="00776DC4"/>
    <w:rsid w:val="00776E7D"/>
    <w:rsid w:val="0077711B"/>
    <w:rsid w:val="0077717D"/>
    <w:rsid w:val="0077734C"/>
    <w:rsid w:val="0077735E"/>
    <w:rsid w:val="007773A1"/>
    <w:rsid w:val="007774FB"/>
    <w:rsid w:val="00777508"/>
    <w:rsid w:val="0077759D"/>
    <w:rsid w:val="00777749"/>
    <w:rsid w:val="00777784"/>
    <w:rsid w:val="007778C9"/>
    <w:rsid w:val="0077790E"/>
    <w:rsid w:val="00777983"/>
    <w:rsid w:val="00777ADB"/>
    <w:rsid w:val="00777C33"/>
    <w:rsid w:val="00777D7F"/>
    <w:rsid w:val="0078009D"/>
    <w:rsid w:val="0078028F"/>
    <w:rsid w:val="007802AC"/>
    <w:rsid w:val="0078058E"/>
    <w:rsid w:val="00780605"/>
    <w:rsid w:val="0078068F"/>
    <w:rsid w:val="007807EF"/>
    <w:rsid w:val="00780896"/>
    <w:rsid w:val="007808BE"/>
    <w:rsid w:val="00780A3F"/>
    <w:rsid w:val="00780B03"/>
    <w:rsid w:val="00780D30"/>
    <w:rsid w:val="00780D80"/>
    <w:rsid w:val="00780FBB"/>
    <w:rsid w:val="00780FE7"/>
    <w:rsid w:val="00781028"/>
    <w:rsid w:val="00781115"/>
    <w:rsid w:val="00781153"/>
    <w:rsid w:val="007811D5"/>
    <w:rsid w:val="007811D9"/>
    <w:rsid w:val="007812BA"/>
    <w:rsid w:val="007813BD"/>
    <w:rsid w:val="007813E0"/>
    <w:rsid w:val="007814C7"/>
    <w:rsid w:val="007815EB"/>
    <w:rsid w:val="007816DA"/>
    <w:rsid w:val="00781829"/>
    <w:rsid w:val="00781889"/>
    <w:rsid w:val="00781A6D"/>
    <w:rsid w:val="00781B79"/>
    <w:rsid w:val="00781C74"/>
    <w:rsid w:val="00781D89"/>
    <w:rsid w:val="00781F0C"/>
    <w:rsid w:val="007820B1"/>
    <w:rsid w:val="007821A9"/>
    <w:rsid w:val="007821FE"/>
    <w:rsid w:val="00782301"/>
    <w:rsid w:val="00782468"/>
    <w:rsid w:val="00782506"/>
    <w:rsid w:val="0078257B"/>
    <w:rsid w:val="0078257C"/>
    <w:rsid w:val="007827CF"/>
    <w:rsid w:val="007829BB"/>
    <w:rsid w:val="00782A00"/>
    <w:rsid w:val="00782A4D"/>
    <w:rsid w:val="00782BE7"/>
    <w:rsid w:val="00782C21"/>
    <w:rsid w:val="00782C26"/>
    <w:rsid w:val="00782C7D"/>
    <w:rsid w:val="00782C85"/>
    <w:rsid w:val="00782DF2"/>
    <w:rsid w:val="00782EFC"/>
    <w:rsid w:val="0078323D"/>
    <w:rsid w:val="00783341"/>
    <w:rsid w:val="00783384"/>
    <w:rsid w:val="007833C9"/>
    <w:rsid w:val="0078349C"/>
    <w:rsid w:val="00783507"/>
    <w:rsid w:val="00783608"/>
    <w:rsid w:val="007837FD"/>
    <w:rsid w:val="007838A9"/>
    <w:rsid w:val="007838E2"/>
    <w:rsid w:val="007839A5"/>
    <w:rsid w:val="00783AB1"/>
    <w:rsid w:val="00783D75"/>
    <w:rsid w:val="00783D98"/>
    <w:rsid w:val="00783FF1"/>
    <w:rsid w:val="0078422C"/>
    <w:rsid w:val="00784392"/>
    <w:rsid w:val="007843F3"/>
    <w:rsid w:val="00784403"/>
    <w:rsid w:val="00784416"/>
    <w:rsid w:val="00784683"/>
    <w:rsid w:val="00784B30"/>
    <w:rsid w:val="00784C0A"/>
    <w:rsid w:val="0078502B"/>
    <w:rsid w:val="00785085"/>
    <w:rsid w:val="007851A3"/>
    <w:rsid w:val="0078521E"/>
    <w:rsid w:val="00785249"/>
    <w:rsid w:val="007852D1"/>
    <w:rsid w:val="00785354"/>
    <w:rsid w:val="00785414"/>
    <w:rsid w:val="007854AB"/>
    <w:rsid w:val="0078554F"/>
    <w:rsid w:val="007855D6"/>
    <w:rsid w:val="00785773"/>
    <w:rsid w:val="00785867"/>
    <w:rsid w:val="00785A17"/>
    <w:rsid w:val="00785B08"/>
    <w:rsid w:val="00785CD0"/>
    <w:rsid w:val="00785DEB"/>
    <w:rsid w:val="00785DF8"/>
    <w:rsid w:val="00785F66"/>
    <w:rsid w:val="00786050"/>
    <w:rsid w:val="00786439"/>
    <w:rsid w:val="007864B3"/>
    <w:rsid w:val="00786567"/>
    <w:rsid w:val="007865ED"/>
    <w:rsid w:val="0078664F"/>
    <w:rsid w:val="00786666"/>
    <w:rsid w:val="0078674E"/>
    <w:rsid w:val="0078680D"/>
    <w:rsid w:val="0078681B"/>
    <w:rsid w:val="0078692E"/>
    <w:rsid w:val="00786C1A"/>
    <w:rsid w:val="00786C52"/>
    <w:rsid w:val="00786CE2"/>
    <w:rsid w:val="00786F02"/>
    <w:rsid w:val="00786F15"/>
    <w:rsid w:val="007870C6"/>
    <w:rsid w:val="00787105"/>
    <w:rsid w:val="00787294"/>
    <w:rsid w:val="00787482"/>
    <w:rsid w:val="0078757B"/>
    <w:rsid w:val="00787783"/>
    <w:rsid w:val="007879E8"/>
    <w:rsid w:val="00787BD0"/>
    <w:rsid w:val="00787BF6"/>
    <w:rsid w:val="00787DAC"/>
    <w:rsid w:val="00787E38"/>
    <w:rsid w:val="00787E67"/>
    <w:rsid w:val="00787EAD"/>
    <w:rsid w:val="00787F23"/>
    <w:rsid w:val="00790030"/>
    <w:rsid w:val="00790035"/>
    <w:rsid w:val="00790205"/>
    <w:rsid w:val="007904C2"/>
    <w:rsid w:val="007905B0"/>
    <w:rsid w:val="007905DD"/>
    <w:rsid w:val="007905E9"/>
    <w:rsid w:val="0079062C"/>
    <w:rsid w:val="00790716"/>
    <w:rsid w:val="007908BC"/>
    <w:rsid w:val="007908CF"/>
    <w:rsid w:val="00790902"/>
    <w:rsid w:val="00790AA2"/>
    <w:rsid w:val="00790C35"/>
    <w:rsid w:val="00790CE6"/>
    <w:rsid w:val="00790D1F"/>
    <w:rsid w:val="00790D25"/>
    <w:rsid w:val="00790E88"/>
    <w:rsid w:val="00790EA6"/>
    <w:rsid w:val="00790EC3"/>
    <w:rsid w:val="00790F80"/>
    <w:rsid w:val="007910E5"/>
    <w:rsid w:val="00791107"/>
    <w:rsid w:val="00791124"/>
    <w:rsid w:val="00791191"/>
    <w:rsid w:val="0079132C"/>
    <w:rsid w:val="0079138F"/>
    <w:rsid w:val="00791425"/>
    <w:rsid w:val="00791442"/>
    <w:rsid w:val="007914FF"/>
    <w:rsid w:val="0079153A"/>
    <w:rsid w:val="007917AF"/>
    <w:rsid w:val="007917CF"/>
    <w:rsid w:val="007918BC"/>
    <w:rsid w:val="007918F8"/>
    <w:rsid w:val="007919B4"/>
    <w:rsid w:val="00791A2A"/>
    <w:rsid w:val="00791A52"/>
    <w:rsid w:val="00791B41"/>
    <w:rsid w:val="00791BAA"/>
    <w:rsid w:val="00791D55"/>
    <w:rsid w:val="00791E59"/>
    <w:rsid w:val="00791F5D"/>
    <w:rsid w:val="00792027"/>
    <w:rsid w:val="00792344"/>
    <w:rsid w:val="00792366"/>
    <w:rsid w:val="007923A3"/>
    <w:rsid w:val="00792427"/>
    <w:rsid w:val="00792548"/>
    <w:rsid w:val="007925AA"/>
    <w:rsid w:val="007926F7"/>
    <w:rsid w:val="007927F9"/>
    <w:rsid w:val="00792890"/>
    <w:rsid w:val="007929C1"/>
    <w:rsid w:val="00792A59"/>
    <w:rsid w:val="00792A69"/>
    <w:rsid w:val="00792F15"/>
    <w:rsid w:val="00792F16"/>
    <w:rsid w:val="00792F9C"/>
    <w:rsid w:val="00792FE3"/>
    <w:rsid w:val="0079305F"/>
    <w:rsid w:val="007930B8"/>
    <w:rsid w:val="007933D5"/>
    <w:rsid w:val="007933F7"/>
    <w:rsid w:val="007935A9"/>
    <w:rsid w:val="0079377C"/>
    <w:rsid w:val="0079386C"/>
    <w:rsid w:val="00793977"/>
    <w:rsid w:val="00793B34"/>
    <w:rsid w:val="00793B38"/>
    <w:rsid w:val="00793CBB"/>
    <w:rsid w:val="00793D04"/>
    <w:rsid w:val="00793D8A"/>
    <w:rsid w:val="00793E7B"/>
    <w:rsid w:val="00793EB3"/>
    <w:rsid w:val="00793EC2"/>
    <w:rsid w:val="00794051"/>
    <w:rsid w:val="00794162"/>
    <w:rsid w:val="007941BF"/>
    <w:rsid w:val="007941C1"/>
    <w:rsid w:val="00794207"/>
    <w:rsid w:val="007945E8"/>
    <w:rsid w:val="00794655"/>
    <w:rsid w:val="00794663"/>
    <w:rsid w:val="0079485C"/>
    <w:rsid w:val="00794864"/>
    <w:rsid w:val="00794925"/>
    <w:rsid w:val="007949F8"/>
    <w:rsid w:val="00794A04"/>
    <w:rsid w:val="00794ADB"/>
    <w:rsid w:val="00794B40"/>
    <w:rsid w:val="00794C94"/>
    <w:rsid w:val="00794EBC"/>
    <w:rsid w:val="00794EE6"/>
    <w:rsid w:val="00794F8C"/>
    <w:rsid w:val="00794FEB"/>
    <w:rsid w:val="00795154"/>
    <w:rsid w:val="00795225"/>
    <w:rsid w:val="00795243"/>
    <w:rsid w:val="0079525C"/>
    <w:rsid w:val="00795281"/>
    <w:rsid w:val="007952B9"/>
    <w:rsid w:val="007952EC"/>
    <w:rsid w:val="007953A3"/>
    <w:rsid w:val="0079548E"/>
    <w:rsid w:val="00795529"/>
    <w:rsid w:val="00795941"/>
    <w:rsid w:val="00795998"/>
    <w:rsid w:val="00795AD2"/>
    <w:rsid w:val="00795C85"/>
    <w:rsid w:val="00795CB3"/>
    <w:rsid w:val="00795D68"/>
    <w:rsid w:val="00795E06"/>
    <w:rsid w:val="00795E5E"/>
    <w:rsid w:val="00795EDB"/>
    <w:rsid w:val="00795F95"/>
    <w:rsid w:val="00795FDF"/>
    <w:rsid w:val="0079604D"/>
    <w:rsid w:val="0079607A"/>
    <w:rsid w:val="0079609F"/>
    <w:rsid w:val="007961CE"/>
    <w:rsid w:val="007961EE"/>
    <w:rsid w:val="00796224"/>
    <w:rsid w:val="007962F9"/>
    <w:rsid w:val="007962FF"/>
    <w:rsid w:val="0079632D"/>
    <w:rsid w:val="00796533"/>
    <w:rsid w:val="00796585"/>
    <w:rsid w:val="007965C6"/>
    <w:rsid w:val="0079673D"/>
    <w:rsid w:val="00796A48"/>
    <w:rsid w:val="00796BED"/>
    <w:rsid w:val="00796BF1"/>
    <w:rsid w:val="00796BF4"/>
    <w:rsid w:val="00796C1E"/>
    <w:rsid w:val="00796C67"/>
    <w:rsid w:val="00796D19"/>
    <w:rsid w:val="00796E26"/>
    <w:rsid w:val="00796E4C"/>
    <w:rsid w:val="00796E7D"/>
    <w:rsid w:val="00796F14"/>
    <w:rsid w:val="00797114"/>
    <w:rsid w:val="00797158"/>
    <w:rsid w:val="0079717C"/>
    <w:rsid w:val="0079718E"/>
    <w:rsid w:val="00797298"/>
    <w:rsid w:val="00797354"/>
    <w:rsid w:val="0079735C"/>
    <w:rsid w:val="00797451"/>
    <w:rsid w:val="00797539"/>
    <w:rsid w:val="007975C6"/>
    <w:rsid w:val="00797691"/>
    <w:rsid w:val="00797697"/>
    <w:rsid w:val="007976F8"/>
    <w:rsid w:val="00797860"/>
    <w:rsid w:val="0079786A"/>
    <w:rsid w:val="00797926"/>
    <w:rsid w:val="00797951"/>
    <w:rsid w:val="00797980"/>
    <w:rsid w:val="00797F55"/>
    <w:rsid w:val="00797F57"/>
    <w:rsid w:val="007A0046"/>
    <w:rsid w:val="007A00B0"/>
    <w:rsid w:val="007A0110"/>
    <w:rsid w:val="007A021E"/>
    <w:rsid w:val="007A02ED"/>
    <w:rsid w:val="007A040D"/>
    <w:rsid w:val="007A0522"/>
    <w:rsid w:val="007A077D"/>
    <w:rsid w:val="007A0791"/>
    <w:rsid w:val="007A07BC"/>
    <w:rsid w:val="007A0851"/>
    <w:rsid w:val="007A0923"/>
    <w:rsid w:val="007A0C69"/>
    <w:rsid w:val="007A0CCD"/>
    <w:rsid w:val="007A0F5D"/>
    <w:rsid w:val="007A1079"/>
    <w:rsid w:val="007A1084"/>
    <w:rsid w:val="007A111D"/>
    <w:rsid w:val="007A1259"/>
    <w:rsid w:val="007A12C0"/>
    <w:rsid w:val="007A12C1"/>
    <w:rsid w:val="007A1472"/>
    <w:rsid w:val="007A1503"/>
    <w:rsid w:val="007A1561"/>
    <w:rsid w:val="007A164E"/>
    <w:rsid w:val="007A1658"/>
    <w:rsid w:val="007A1732"/>
    <w:rsid w:val="007A1856"/>
    <w:rsid w:val="007A192A"/>
    <w:rsid w:val="007A1967"/>
    <w:rsid w:val="007A19A3"/>
    <w:rsid w:val="007A1E98"/>
    <w:rsid w:val="007A202B"/>
    <w:rsid w:val="007A218D"/>
    <w:rsid w:val="007A2331"/>
    <w:rsid w:val="007A23F8"/>
    <w:rsid w:val="007A2463"/>
    <w:rsid w:val="007A2559"/>
    <w:rsid w:val="007A258A"/>
    <w:rsid w:val="007A25C7"/>
    <w:rsid w:val="007A25CB"/>
    <w:rsid w:val="007A27F3"/>
    <w:rsid w:val="007A2802"/>
    <w:rsid w:val="007A2813"/>
    <w:rsid w:val="007A28F4"/>
    <w:rsid w:val="007A29E1"/>
    <w:rsid w:val="007A2D0F"/>
    <w:rsid w:val="007A2D2F"/>
    <w:rsid w:val="007A2DFB"/>
    <w:rsid w:val="007A32BE"/>
    <w:rsid w:val="007A331A"/>
    <w:rsid w:val="007A3395"/>
    <w:rsid w:val="007A3418"/>
    <w:rsid w:val="007A3659"/>
    <w:rsid w:val="007A3796"/>
    <w:rsid w:val="007A37D2"/>
    <w:rsid w:val="007A3891"/>
    <w:rsid w:val="007A38F4"/>
    <w:rsid w:val="007A39D7"/>
    <w:rsid w:val="007A3A46"/>
    <w:rsid w:val="007A3A90"/>
    <w:rsid w:val="007A3C18"/>
    <w:rsid w:val="007A3CB0"/>
    <w:rsid w:val="007A3CD4"/>
    <w:rsid w:val="007A3CEB"/>
    <w:rsid w:val="007A3D49"/>
    <w:rsid w:val="007A3DB1"/>
    <w:rsid w:val="007A3E3D"/>
    <w:rsid w:val="007A3EB3"/>
    <w:rsid w:val="007A3F3F"/>
    <w:rsid w:val="007A3F50"/>
    <w:rsid w:val="007A4051"/>
    <w:rsid w:val="007A4118"/>
    <w:rsid w:val="007A41C4"/>
    <w:rsid w:val="007A4350"/>
    <w:rsid w:val="007A4354"/>
    <w:rsid w:val="007A436B"/>
    <w:rsid w:val="007A444E"/>
    <w:rsid w:val="007A44BA"/>
    <w:rsid w:val="007A4644"/>
    <w:rsid w:val="007A48AC"/>
    <w:rsid w:val="007A4A48"/>
    <w:rsid w:val="007A52DB"/>
    <w:rsid w:val="007A587F"/>
    <w:rsid w:val="007A588A"/>
    <w:rsid w:val="007A59A5"/>
    <w:rsid w:val="007A5A34"/>
    <w:rsid w:val="007A5ABF"/>
    <w:rsid w:val="007A5B53"/>
    <w:rsid w:val="007A5C47"/>
    <w:rsid w:val="007A6047"/>
    <w:rsid w:val="007A60EF"/>
    <w:rsid w:val="007A6118"/>
    <w:rsid w:val="007A623E"/>
    <w:rsid w:val="007A62DB"/>
    <w:rsid w:val="007A647B"/>
    <w:rsid w:val="007A64DB"/>
    <w:rsid w:val="007A6608"/>
    <w:rsid w:val="007A6617"/>
    <w:rsid w:val="007A680C"/>
    <w:rsid w:val="007A6872"/>
    <w:rsid w:val="007A6A01"/>
    <w:rsid w:val="007A6D37"/>
    <w:rsid w:val="007A6D80"/>
    <w:rsid w:val="007A6E03"/>
    <w:rsid w:val="007A6E4C"/>
    <w:rsid w:val="007A6EBB"/>
    <w:rsid w:val="007A6FF9"/>
    <w:rsid w:val="007A7168"/>
    <w:rsid w:val="007A72A0"/>
    <w:rsid w:val="007A7326"/>
    <w:rsid w:val="007A734B"/>
    <w:rsid w:val="007A73CE"/>
    <w:rsid w:val="007A752D"/>
    <w:rsid w:val="007A75C0"/>
    <w:rsid w:val="007A7641"/>
    <w:rsid w:val="007A767E"/>
    <w:rsid w:val="007A77AE"/>
    <w:rsid w:val="007A782B"/>
    <w:rsid w:val="007A7965"/>
    <w:rsid w:val="007A7967"/>
    <w:rsid w:val="007A799B"/>
    <w:rsid w:val="007A79C5"/>
    <w:rsid w:val="007A7E28"/>
    <w:rsid w:val="007A7EB3"/>
    <w:rsid w:val="007A7EBF"/>
    <w:rsid w:val="007A7EE0"/>
    <w:rsid w:val="007A7F30"/>
    <w:rsid w:val="007A7F35"/>
    <w:rsid w:val="007B0090"/>
    <w:rsid w:val="007B0142"/>
    <w:rsid w:val="007B017E"/>
    <w:rsid w:val="007B01EF"/>
    <w:rsid w:val="007B0267"/>
    <w:rsid w:val="007B03C1"/>
    <w:rsid w:val="007B0460"/>
    <w:rsid w:val="007B04CC"/>
    <w:rsid w:val="007B0664"/>
    <w:rsid w:val="007B06D0"/>
    <w:rsid w:val="007B0704"/>
    <w:rsid w:val="007B075C"/>
    <w:rsid w:val="007B079E"/>
    <w:rsid w:val="007B07C8"/>
    <w:rsid w:val="007B0848"/>
    <w:rsid w:val="007B0C07"/>
    <w:rsid w:val="007B0C2D"/>
    <w:rsid w:val="007B0CCE"/>
    <w:rsid w:val="007B0D22"/>
    <w:rsid w:val="007B0DB1"/>
    <w:rsid w:val="007B0DBA"/>
    <w:rsid w:val="007B0DF8"/>
    <w:rsid w:val="007B0E4E"/>
    <w:rsid w:val="007B0F57"/>
    <w:rsid w:val="007B0F7E"/>
    <w:rsid w:val="007B1227"/>
    <w:rsid w:val="007B134F"/>
    <w:rsid w:val="007B1569"/>
    <w:rsid w:val="007B159B"/>
    <w:rsid w:val="007B1616"/>
    <w:rsid w:val="007B170D"/>
    <w:rsid w:val="007B1754"/>
    <w:rsid w:val="007B1825"/>
    <w:rsid w:val="007B1850"/>
    <w:rsid w:val="007B1AE6"/>
    <w:rsid w:val="007B1B10"/>
    <w:rsid w:val="007B1B93"/>
    <w:rsid w:val="007B1BFB"/>
    <w:rsid w:val="007B1D9C"/>
    <w:rsid w:val="007B1DC1"/>
    <w:rsid w:val="007B1E43"/>
    <w:rsid w:val="007B1E5D"/>
    <w:rsid w:val="007B20E9"/>
    <w:rsid w:val="007B23A3"/>
    <w:rsid w:val="007B251F"/>
    <w:rsid w:val="007B2592"/>
    <w:rsid w:val="007B2677"/>
    <w:rsid w:val="007B272B"/>
    <w:rsid w:val="007B273E"/>
    <w:rsid w:val="007B27F4"/>
    <w:rsid w:val="007B28A0"/>
    <w:rsid w:val="007B2B24"/>
    <w:rsid w:val="007B2B54"/>
    <w:rsid w:val="007B2B7F"/>
    <w:rsid w:val="007B2C39"/>
    <w:rsid w:val="007B2CBD"/>
    <w:rsid w:val="007B2F24"/>
    <w:rsid w:val="007B2F28"/>
    <w:rsid w:val="007B3088"/>
    <w:rsid w:val="007B3137"/>
    <w:rsid w:val="007B32A1"/>
    <w:rsid w:val="007B3345"/>
    <w:rsid w:val="007B33B3"/>
    <w:rsid w:val="007B33DC"/>
    <w:rsid w:val="007B34C1"/>
    <w:rsid w:val="007B3603"/>
    <w:rsid w:val="007B37F7"/>
    <w:rsid w:val="007B390F"/>
    <w:rsid w:val="007B3A4B"/>
    <w:rsid w:val="007B3C0F"/>
    <w:rsid w:val="007B3D12"/>
    <w:rsid w:val="007B3D4C"/>
    <w:rsid w:val="007B3E2D"/>
    <w:rsid w:val="007B41AD"/>
    <w:rsid w:val="007B4236"/>
    <w:rsid w:val="007B4281"/>
    <w:rsid w:val="007B4713"/>
    <w:rsid w:val="007B4720"/>
    <w:rsid w:val="007B47A7"/>
    <w:rsid w:val="007B48C1"/>
    <w:rsid w:val="007B4900"/>
    <w:rsid w:val="007B496C"/>
    <w:rsid w:val="007B49E2"/>
    <w:rsid w:val="007B4A51"/>
    <w:rsid w:val="007B4B1F"/>
    <w:rsid w:val="007B4C47"/>
    <w:rsid w:val="007B4CB3"/>
    <w:rsid w:val="007B4CBE"/>
    <w:rsid w:val="007B4E04"/>
    <w:rsid w:val="007B4E08"/>
    <w:rsid w:val="007B4F5A"/>
    <w:rsid w:val="007B502A"/>
    <w:rsid w:val="007B50F5"/>
    <w:rsid w:val="007B5145"/>
    <w:rsid w:val="007B528C"/>
    <w:rsid w:val="007B53C1"/>
    <w:rsid w:val="007B551C"/>
    <w:rsid w:val="007B5542"/>
    <w:rsid w:val="007B5630"/>
    <w:rsid w:val="007B56BC"/>
    <w:rsid w:val="007B5796"/>
    <w:rsid w:val="007B580C"/>
    <w:rsid w:val="007B589D"/>
    <w:rsid w:val="007B58CE"/>
    <w:rsid w:val="007B5938"/>
    <w:rsid w:val="007B594E"/>
    <w:rsid w:val="007B5999"/>
    <w:rsid w:val="007B5BBA"/>
    <w:rsid w:val="007B5C25"/>
    <w:rsid w:val="007B5D71"/>
    <w:rsid w:val="007B5DA8"/>
    <w:rsid w:val="007B5DAB"/>
    <w:rsid w:val="007B5E41"/>
    <w:rsid w:val="007B5EA1"/>
    <w:rsid w:val="007B5EE8"/>
    <w:rsid w:val="007B6007"/>
    <w:rsid w:val="007B6028"/>
    <w:rsid w:val="007B6036"/>
    <w:rsid w:val="007B6250"/>
    <w:rsid w:val="007B62E2"/>
    <w:rsid w:val="007B636E"/>
    <w:rsid w:val="007B641E"/>
    <w:rsid w:val="007B6499"/>
    <w:rsid w:val="007B662A"/>
    <w:rsid w:val="007B6745"/>
    <w:rsid w:val="007B677F"/>
    <w:rsid w:val="007B6831"/>
    <w:rsid w:val="007B68FD"/>
    <w:rsid w:val="007B6909"/>
    <w:rsid w:val="007B69A6"/>
    <w:rsid w:val="007B6B20"/>
    <w:rsid w:val="007B6B22"/>
    <w:rsid w:val="007B6C55"/>
    <w:rsid w:val="007B6C61"/>
    <w:rsid w:val="007B6C90"/>
    <w:rsid w:val="007B6E32"/>
    <w:rsid w:val="007B6F17"/>
    <w:rsid w:val="007B6FDE"/>
    <w:rsid w:val="007B705B"/>
    <w:rsid w:val="007B7125"/>
    <w:rsid w:val="007B723B"/>
    <w:rsid w:val="007B72CF"/>
    <w:rsid w:val="007B73EC"/>
    <w:rsid w:val="007B73F9"/>
    <w:rsid w:val="007B7468"/>
    <w:rsid w:val="007B7562"/>
    <w:rsid w:val="007B7579"/>
    <w:rsid w:val="007B75FC"/>
    <w:rsid w:val="007B760C"/>
    <w:rsid w:val="007B766F"/>
    <w:rsid w:val="007B76AB"/>
    <w:rsid w:val="007B77DF"/>
    <w:rsid w:val="007B7B31"/>
    <w:rsid w:val="007B7CCD"/>
    <w:rsid w:val="007B7CCE"/>
    <w:rsid w:val="007B7D64"/>
    <w:rsid w:val="007B7E4D"/>
    <w:rsid w:val="007B7EA0"/>
    <w:rsid w:val="007B7EA7"/>
    <w:rsid w:val="007B7EBE"/>
    <w:rsid w:val="007B7F40"/>
    <w:rsid w:val="007B7F60"/>
    <w:rsid w:val="007C0029"/>
    <w:rsid w:val="007C0121"/>
    <w:rsid w:val="007C0197"/>
    <w:rsid w:val="007C01F9"/>
    <w:rsid w:val="007C0211"/>
    <w:rsid w:val="007C0292"/>
    <w:rsid w:val="007C0390"/>
    <w:rsid w:val="007C041F"/>
    <w:rsid w:val="007C072A"/>
    <w:rsid w:val="007C08C7"/>
    <w:rsid w:val="007C0972"/>
    <w:rsid w:val="007C0A57"/>
    <w:rsid w:val="007C0B18"/>
    <w:rsid w:val="007C0CDC"/>
    <w:rsid w:val="007C0E57"/>
    <w:rsid w:val="007C0EEF"/>
    <w:rsid w:val="007C10EA"/>
    <w:rsid w:val="007C1109"/>
    <w:rsid w:val="007C11C4"/>
    <w:rsid w:val="007C12E9"/>
    <w:rsid w:val="007C156C"/>
    <w:rsid w:val="007C15C0"/>
    <w:rsid w:val="007C195C"/>
    <w:rsid w:val="007C1A26"/>
    <w:rsid w:val="007C1C1C"/>
    <w:rsid w:val="007C1CBC"/>
    <w:rsid w:val="007C1DED"/>
    <w:rsid w:val="007C1E8C"/>
    <w:rsid w:val="007C1F73"/>
    <w:rsid w:val="007C2105"/>
    <w:rsid w:val="007C24FC"/>
    <w:rsid w:val="007C25A7"/>
    <w:rsid w:val="007C281F"/>
    <w:rsid w:val="007C286C"/>
    <w:rsid w:val="007C2A50"/>
    <w:rsid w:val="007C2AF8"/>
    <w:rsid w:val="007C2AFF"/>
    <w:rsid w:val="007C2DC7"/>
    <w:rsid w:val="007C2F85"/>
    <w:rsid w:val="007C3145"/>
    <w:rsid w:val="007C328A"/>
    <w:rsid w:val="007C34E8"/>
    <w:rsid w:val="007C36ED"/>
    <w:rsid w:val="007C3761"/>
    <w:rsid w:val="007C3812"/>
    <w:rsid w:val="007C382A"/>
    <w:rsid w:val="007C38CB"/>
    <w:rsid w:val="007C391D"/>
    <w:rsid w:val="007C3D9D"/>
    <w:rsid w:val="007C3F20"/>
    <w:rsid w:val="007C40D6"/>
    <w:rsid w:val="007C4144"/>
    <w:rsid w:val="007C424B"/>
    <w:rsid w:val="007C4344"/>
    <w:rsid w:val="007C43A4"/>
    <w:rsid w:val="007C4417"/>
    <w:rsid w:val="007C448A"/>
    <w:rsid w:val="007C4526"/>
    <w:rsid w:val="007C4557"/>
    <w:rsid w:val="007C4629"/>
    <w:rsid w:val="007C477B"/>
    <w:rsid w:val="007C47A7"/>
    <w:rsid w:val="007C488F"/>
    <w:rsid w:val="007C48F6"/>
    <w:rsid w:val="007C49D4"/>
    <w:rsid w:val="007C4A4B"/>
    <w:rsid w:val="007C4CB1"/>
    <w:rsid w:val="007C4D0B"/>
    <w:rsid w:val="007C4EC2"/>
    <w:rsid w:val="007C4F7A"/>
    <w:rsid w:val="007C50D4"/>
    <w:rsid w:val="007C52A4"/>
    <w:rsid w:val="007C5399"/>
    <w:rsid w:val="007C5511"/>
    <w:rsid w:val="007C55D3"/>
    <w:rsid w:val="007C56A4"/>
    <w:rsid w:val="007C5746"/>
    <w:rsid w:val="007C5796"/>
    <w:rsid w:val="007C582C"/>
    <w:rsid w:val="007C586E"/>
    <w:rsid w:val="007C5937"/>
    <w:rsid w:val="007C5948"/>
    <w:rsid w:val="007C5974"/>
    <w:rsid w:val="007C5A6E"/>
    <w:rsid w:val="007C5A89"/>
    <w:rsid w:val="007C5B43"/>
    <w:rsid w:val="007C5BF2"/>
    <w:rsid w:val="007C5BF8"/>
    <w:rsid w:val="007C5CAE"/>
    <w:rsid w:val="007C5D09"/>
    <w:rsid w:val="007C5E68"/>
    <w:rsid w:val="007C5E98"/>
    <w:rsid w:val="007C5EA1"/>
    <w:rsid w:val="007C5F9A"/>
    <w:rsid w:val="007C6054"/>
    <w:rsid w:val="007C618A"/>
    <w:rsid w:val="007C620D"/>
    <w:rsid w:val="007C6228"/>
    <w:rsid w:val="007C6394"/>
    <w:rsid w:val="007C639C"/>
    <w:rsid w:val="007C6476"/>
    <w:rsid w:val="007C64DD"/>
    <w:rsid w:val="007C6555"/>
    <w:rsid w:val="007C661F"/>
    <w:rsid w:val="007C665D"/>
    <w:rsid w:val="007C66C2"/>
    <w:rsid w:val="007C675E"/>
    <w:rsid w:val="007C695B"/>
    <w:rsid w:val="007C69EA"/>
    <w:rsid w:val="007C6A22"/>
    <w:rsid w:val="007C6C6B"/>
    <w:rsid w:val="007C6DA1"/>
    <w:rsid w:val="007C6DE5"/>
    <w:rsid w:val="007C6E1E"/>
    <w:rsid w:val="007C6F8F"/>
    <w:rsid w:val="007C7032"/>
    <w:rsid w:val="007C7157"/>
    <w:rsid w:val="007C73CD"/>
    <w:rsid w:val="007C7418"/>
    <w:rsid w:val="007C7446"/>
    <w:rsid w:val="007C752E"/>
    <w:rsid w:val="007C75FB"/>
    <w:rsid w:val="007C7600"/>
    <w:rsid w:val="007C7729"/>
    <w:rsid w:val="007C785B"/>
    <w:rsid w:val="007C78CB"/>
    <w:rsid w:val="007C7922"/>
    <w:rsid w:val="007C7990"/>
    <w:rsid w:val="007C79E3"/>
    <w:rsid w:val="007C7AAA"/>
    <w:rsid w:val="007C7AFA"/>
    <w:rsid w:val="007C7B7D"/>
    <w:rsid w:val="007C7BBA"/>
    <w:rsid w:val="007C7D2F"/>
    <w:rsid w:val="007D015E"/>
    <w:rsid w:val="007D01A0"/>
    <w:rsid w:val="007D02D3"/>
    <w:rsid w:val="007D043A"/>
    <w:rsid w:val="007D0440"/>
    <w:rsid w:val="007D0456"/>
    <w:rsid w:val="007D0468"/>
    <w:rsid w:val="007D064A"/>
    <w:rsid w:val="007D0732"/>
    <w:rsid w:val="007D07FE"/>
    <w:rsid w:val="007D083E"/>
    <w:rsid w:val="007D08AD"/>
    <w:rsid w:val="007D08B7"/>
    <w:rsid w:val="007D0AF8"/>
    <w:rsid w:val="007D0B27"/>
    <w:rsid w:val="007D0C22"/>
    <w:rsid w:val="007D0C64"/>
    <w:rsid w:val="007D0D33"/>
    <w:rsid w:val="007D0E7B"/>
    <w:rsid w:val="007D0F22"/>
    <w:rsid w:val="007D108E"/>
    <w:rsid w:val="007D11C4"/>
    <w:rsid w:val="007D1205"/>
    <w:rsid w:val="007D129D"/>
    <w:rsid w:val="007D12CE"/>
    <w:rsid w:val="007D13F5"/>
    <w:rsid w:val="007D1422"/>
    <w:rsid w:val="007D17B8"/>
    <w:rsid w:val="007D17D9"/>
    <w:rsid w:val="007D1907"/>
    <w:rsid w:val="007D195D"/>
    <w:rsid w:val="007D19C1"/>
    <w:rsid w:val="007D1A90"/>
    <w:rsid w:val="007D1B1D"/>
    <w:rsid w:val="007D1BDB"/>
    <w:rsid w:val="007D1CF2"/>
    <w:rsid w:val="007D1E21"/>
    <w:rsid w:val="007D1E30"/>
    <w:rsid w:val="007D2058"/>
    <w:rsid w:val="007D2072"/>
    <w:rsid w:val="007D20A3"/>
    <w:rsid w:val="007D2131"/>
    <w:rsid w:val="007D213E"/>
    <w:rsid w:val="007D25A8"/>
    <w:rsid w:val="007D2607"/>
    <w:rsid w:val="007D26DD"/>
    <w:rsid w:val="007D2718"/>
    <w:rsid w:val="007D29D8"/>
    <w:rsid w:val="007D2B8A"/>
    <w:rsid w:val="007D2C1A"/>
    <w:rsid w:val="007D2CB3"/>
    <w:rsid w:val="007D2DAD"/>
    <w:rsid w:val="007D2DAF"/>
    <w:rsid w:val="007D2DB0"/>
    <w:rsid w:val="007D2EE4"/>
    <w:rsid w:val="007D3018"/>
    <w:rsid w:val="007D30A3"/>
    <w:rsid w:val="007D30C4"/>
    <w:rsid w:val="007D30F9"/>
    <w:rsid w:val="007D3184"/>
    <w:rsid w:val="007D33CF"/>
    <w:rsid w:val="007D34C3"/>
    <w:rsid w:val="007D3525"/>
    <w:rsid w:val="007D3636"/>
    <w:rsid w:val="007D37B1"/>
    <w:rsid w:val="007D3A7D"/>
    <w:rsid w:val="007D3AF8"/>
    <w:rsid w:val="007D3BBB"/>
    <w:rsid w:val="007D3BF8"/>
    <w:rsid w:val="007D41E7"/>
    <w:rsid w:val="007D4340"/>
    <w:rsid w:val="007D4392"/>
    <w:rsid w:val="007D4409"/>
    <w:rsid w:val="007D4483"/>
    <w:rsid w:val="007D449B"/>
    <w:rsid w:val="007D45AA"/>
    <w:rsid w:val="007D45FF"/>
    <w:rsid w:val="007D4B0E"/>
    <w:rsid w:val="007D4D32"/>
    <w:rsid w:val="007D50CD"/>
    <w:rsid w:val="007D51E9"/>
    <w:rsid w:val="007D5309"/>
    <w:rsid w:val="007D534B"/>
    <w:rsid w:val="007D535C"/>
    <w:rsid w:val="007D539B"/>
    <w:rsid w:val="007D53CA"/>
    <w:rsid w:val="007D5741"/>
    <w:rsid w:val="007D592B"/>
    <w:rsid w:val="007D5AA6"/>
    <w:rsid w:val="007D5ADC"/>
    <w:rsid w:val="007D5BD8"/>
    <w:rsid w:val="007D5BDB"/>
    <w:rsid w:val="007D5CDB"/>
    <w:rsid w:val="007D5E88"/>
    <w:rsid w:val="007D60F1"/>
    <w:rsid w:val="007D61E7"/>
    <w:rsid w:val="007D622B"/>
    <w:rsid w:val="007D6278"/>
    <w:rsid w:val="007D627A"/>
    <w:rsid w:val="007D62E3"/>
    <w:rsid w:val="007D634C"/>
    <w:rsid w:val="007D634D"/>
    <w:rsid w:val="007D65A1"/>
    <w:rsid w:val="007D6601"/>
    <w:rsid w:val="007D6620"/>
    <w:rsid w:val="007D698A"/>
    <w:rsid w:val="007D69DF"/>
    <w:rsid w:val="007D6A27"/>
    <w:rsid w:val="007D6A43"/>
    <w:rsid w:val="007D6AEA"/>
    <w:rsid w:val="007D6BCD"/>
    <w:rsid w:val="007D6C12"/>
    <w:rsid w:val="007D6C35"/>
    <w:rsid w:val="007D6C5F"/>
    <w:rsid w:val="007D6EA7"/>
    <w:rsid w:val="007D6F0A"/>
    <w:rsid w:val="007D736B"/>
    <w:rsid w:val="007D753B"/>
    <w:rsid w:val="007D75BD"/>
    <w:rsid w:val="007D75DD"/>
    <w:rsid w:val="007D7716"/>
    <w:rsid w:val="007D7763"/>
    <w:rsid w:val="007D7961"/>
    <w:rsid w:val="007D79A9"/>
    <w:rsid w:val="007D7A91"/>
    <w:rsid w:val="007D7CE8"/>
    <w:rsid w:val="007D7D13"/>
    <w:rsid w:val="007D7DFE"/>
    <w:rsid w:val="007D7EFC"/>
    <w:rsid w:val="007E0000"/>
    <w:rsid w:val="007E010D"/>
    <w:rsid w:val="007E022A"/>
    <w:rsid w:val="007E033D"/>
    <w:rsid w:val="007E03B3"/>
    <w:rsid w:val="007E0437"/>
    <w:rsid w:val="007E047B"/>
    <w:rsid w:val="007E0701"/>
    <w:rsid w:val="007E08AE"/>
    <w:rsid w:val="007E08BC"/>
    <w:rsid w:val="007E09A4"/>
    <w:rsid w:val="007E09A9"/>
    <w:rsid w:val="007E09B2"/>
    <w:rsid w:val="007E0A40"/>
    <w:rsid w:val="007E0A60"/>
    <w:rsid w:val="007E0B19"/>
    <w:rsid w:val="007E0D5E"/>
    <w:rsid w:val="007E0E48"/>
    <w:rsid w:val="007E0F7E"/>
    <w:rsid w:val="007E0F95"/>
    <w:rsid w:val="007E0FD3"/>
    <w:rsid w:val="007E10BC"/>
    <w:rsid w:val="007E12A8"/>
    <w:rsid w:val="007E133B"/>
    <w:rsid w:val="007E13C5"/>
    <w:rsid w:val="007E1416"/>
    <w:rsid w:val="007E1558"/>
    <w:rsid w:val="007E1813"/>
    <w:rsid w:val="007E19ED"/>
    <w:rsid w:val="007E1C0D"/>
    <w:rsid w:val="007E1C54"/>
    <w:rsid w:val="007E1E4A"/>
    <w:rsid w:val="007E1E63"/>
    <w:rsid w:val="007E1EC8"/>
    <w:rsid w:val="007E1F9F"/>
    <w:rsid w:val="007E1FD2"/>
    <w:rsid w:val="007E20C8"/>
    <w:rsid w:val="007E20DB"/>
    <w:rsid w:val="007E225B"/>
    <w:rsid w:val="007E2264"/>
    <w:rsid w:val="007E23B4"/>
    <w:rsid w:val="007E254B"/>
    <w:rsid w:val="007E27DC"/>
    <w:rsid w:val="007E2941"/>
    <w:rsid w:val="007E2C6B"/>
    <w:rsid w:val="007E2CB2"/>
    <w:rsid w:val="007E2DD9"/>
    <w:rsid w:val="007E2EE2"/>
    <w:rsid w:val="007E31FA"/>
    <w:rsid w:val="007E32E1"/>
    <w:rsid w:val="007E333C"/>
    <w:rsid w:val="007E34FE"/>
    <w:rsid w:val="007E3518"/>
    <w:rsid w:val="007E367F"/>
    <w:rsid w:val="007E3E24"/>
    <w:rsid w:val="007E3E54"/>
    <w:rsid w:val="007E3F3D"/>
    <w:rsid w:val="007E40A6"/>
    <w:rsid w:val="007E4217"/>
    <w:rsid w:val="007E424E"/>
    <w:rsid w:val="007E42F8"/>
    <w:rsid w:val="007E4318"/>
    <w:rsid w:val="007E43DB"/>
    <w:rsid w:val="007E447B"/>
    <w:rsid w:val="007E44FE"/>
    <w:rsid w:val="007E463F"/>
    <w:rsid w:val="007E4804"/>
    <w:rsid w:val="007E4964"/>
    <w:rsid w:val="007E4D46"/>
    <w:rsid w:val="007E4E98"/>
    <w:rsid w:val="007E4FB6"/>
    <w:rsid w:val="007E502F"/>
    <w:rsid w:val="007E506B"/>
    <w:rsid w:val="007E50C4"/>
    <w:rsid w:val="007E50F7"/>
    <w:rsid w:val="007E51CC"/>
    <w:rsid w:val="007E5200"/>
    <w:rsid w:val="007E5286"/>
    <w:rsid w:val="007E541D"/>
    <w:rsid w:val="007E54D1"/>
    <w:rsid w:val="007E57AE"/>
    <w:rsid w:val="007E58C0"/>
    <w:rsid w:val="007E5A22"/>
    <w:rsid w:val="007E5B8A"/>
    <w:rsid w:val="007E5D38"/>
    <w:rsid w:val="007E5EAB"/>
    <w:rsid w:val="007E5FDE"/>
    <w:rsid w:val="007E5FED"/>
    <w:rsid w:val="007E606B"/>
    <w:rsid w:val="007E6156"/>
    <w:rsid w:val="007E628C"/>
    <w:rsid w:val="007E633B"/>
    <w:rsid w:val="007E63DE"/>
    <w:rsid w:val="007E6456"/>
    <w:rsid w:val="007E6472"/>
    <w:rsid w:val="007E68CA"/>
    <w:rsid w:val="007E6A0C"/>
    <w:rsid w:val="007E6A53"/>
    <w:rsid w:val="007E6B85"/>
    <w:rsid w:val="007E6C9C"/>
    <w:rsid w:val="007E6E1C"/>
    <w:rsid w:val="007E6F0D"/>
    <w:rsid w:val="007E7061"/>
    <w:rsid w:val="007E70E9"/>
    <w:rsid w:val="007E711C"/>
    <w:rsid w:val="007E7179"/>
    <w:rsid w:val="007E72A1"/>
    <w:rsid w:val="007E7447"/>
    <w:rsid w:val="007E752F"/>
    <w:rsid w:val="007E760A"/>
    <w:rsid w:val="007E7652"/>
    <w:rsid w:val="007E77AD"/>
    <w:rsid w:val="007E77DA"/>
    <w:rsid w:val="007E788A"/>
    <w:rsid w:val="007E78B4"/>
    <w:rsid w:val="007E7B96"/>
    <w:rsid w:val="007E7CAC"/>
    <w:rsid w:val="007E7E6D"/>
    <w:rsid w:val="007E7F53"/>
    <w:rsid w:val="007F00AC"/>
    <w:rsid w:val="007F017A"/>
    <w:rsid w:val="007F023E"/>
    <w:rsid w:val="007F027C"/>
    <w:rsid w:val="007F02F2"/>
    <w:rsid w:val="007F0301"/>
    <w:rsid w:val="007F041A"/>
    <w:rsid w:val="007F0460"/>
    <w:rsid w:val="007F0553"/>
    <w:rsid w:val="007F05DC"/>
    <w:rsid w:val="007F06DC"/>
    <w:rsid w:val="007F07B7"/>
    <w:rsid w:val="007F08EB"/>
    <w:rsid w:val="007F0A63"/>
    <w:rsid w:val="007F0A8E"/>
    <w:rsid w:val="007F0AFD"/>
    <w:rsid w:val="007F0B46"/>
    <w:rsid w:val="007F0BF7"/>
    <w:rsid w:val="007F0C30"/>
    <w:rsid w:val="007F0D5F"/>
    <w:rsid w:val="007F0DFF"/>
    <w:rsid w:val="007F0E36"/>
    <w:rsid w:val="007F0F51"/>
    <w:rsid w:val="007F0F9B"/>
    <w:rsid w:val="007F0FFD"/>
    <w:rsid w:val="007F1048"/>
    <w:rsid w:val="007F109D"/>
    <w:rsid w:val="007F10C4"/>
    <w:rsid w:val="007F10F8"/>
    <w:rsid w:val="007F116D"/>
    <w:rsid w:val="007F133B"/>
    <w:rsid w:val="007F1425"/>
    <w:rsid w:val="007F1429"/>
    <w:rsid w:val="007F15D5"/>
    <w:rsid w:val="007F15E8"/>
    <w:rsid w:val="007F1648"/>
    <w:rsid w:val="007F172E"/>
    <w:rsid w:val="007F1730"/>
    <w:rsid w:val="007F174E"/>
    <w:rsid w:val="007F17F7"/>
    <w:rsid w:val="007F1893"/>
    <w:rsid w:val="007F19ED"/>
    <w:rsid w:val="007F1B15"/>
    <w:rsid w:val="007F1B1E"/>
    <w:rsid w:val="007F1B68"/>
    <w:rsid w:val="007F1C38"/>
    <w:rsid w:val="007F1CED"/>
    <w:rsid w:val="007F1D39"/>
    <w:rsid w:val="007F1F8E"/>
    <w:rsid w:val="007F2036"/>
    <w:rsid w:val="007F203D"/>
    <w:rsid w:val="007F22DC"/>
    <w:rsid w:val="007F23FC"/>
    <w:rsid w:val="007F249E"/>
    <w:rsid w:val="007F26BA"/>
    <w:rsid w:val="007F27BA"/>
    <w:rsid w:val="007F27C7"/>
    <w:rsid w:val="007F298B"/>
    <w:rsid w:val="007F2A66"/>
    <w:rsid w:val="007F2C3F"/>
    <w:rsid w:val="007F2EB4"/>
    <w:rsid w:val="007F2F17"/>
    <w:rsid w:val="007F3057"/>
    <w:rsid w:val="007F33A1"/>
    <w:rsid w:val="007F36C1"/>
    <w:rsid w:val="007F3786"/>
    <w:rsid w:val="007F39ED"/>
    <w:rsid w:val="007F3AD7"/>
    <w:rsid w:val="007F3AEF"/>
    <w:rsid w:val="007F3B6F"/>
    <w:rsid w:val="007F3D1A"/>
    <w:rsid w:val="007F3DB4"/>
    <w:rsid w:val="007F3DE9"/>
    <w:rsid w:val="007F3DED"/>
    <w:rsid w:val="007F3E13"/>
    <w:rsid w:val="007F3E4A"/>
    <w:rsid w:val="007F3E5B"/>
    <w:rsid w:val="007F3F23"/>
    <w:rsid w:val="007F4007"/>
    <w:rsid w:val="007F42A1"/>
    <w:rsid w:val="007F42B2"/>
    <w:rsid w:val="007F42E3"/>
    <w:rsid w:val="007F438A"/>
    <w:rsid w:val="007F447A"/>
    <w:rsid w:val="007F4485"/>
    <w:rsid w:val="007F4497"/>
    <w:rsid w:val="007F44B8"/>
    <w:rsid w:val="007F44BC"/>
    <w:rsid w:val="007F45AE"/>
    <w:rsid w:val="007F467D"/>
    <w:rsid w:val="007F476C"/>
    <w:rsid w:val="007F4AF9"/>
    <w:rsid w:val="007F4C52"/>
    <w:rsid w:val="007F4D22"/>
    <w:rsid w:val="007F4E58"/>
    <w:rsid w:val="007F4F07"/>
    <w:rsid w:val="007F4F6E"/>
    <w:rsid w:val="007F4F73"/>
    <w:rsid w:val="007F519A"/>
    <w:rsid w:val="007F5347"/>
    <w:rsid w:val="007F540E"/>
    <w:rsid w:val="007F5419"/>
    <w:rsid w:val="007F545B"/>
    <w:rsid w:val="007F55A4"/>
    <w:rsid w:val="007F575B"/>
    <w:rsid w:val="007F57F2"/>
    <w:rsid w:val="007F587B"/>
    <w:rsid w:val="007F58C8"/>
    <w:rsid w:val="007F5947"/>
    <w:rsid w:val="007F597E"/>
    <w:rsid w:val="007F5B82"/>
    <w:rsid w:val="007F5C5E"/>
    <w:rsid w:val="007F5CBE"/>
    <w:rsid w:val="007F5F5D"/>
    <w:rsid w:val="007F6058"/>
    <w:rsid w:val="007F6169"/>
    <w:rsid w:val="007F61A5"/>
    <w:rsid w:val="007F61AA"/>
    <w:rsid w:val="007F62C5"/>
    <w:rsid w:val="007F63DB"/>
    <w:rsid w:val="007F6464"/>
    <w:rsid w:val="007F64F2"/>
    <w:rsid w:val="007F6579"/>
    <w:rsid w:val="007F663A"/>
    <w:rsid w:val="007F67CC"/>
    <w:rsid w:val="007F69C8"/>
    <w:rsid w:val="007F6A03"/>
    <w:rsid w:val="007F6B0B"/>
    <w:rsid w:val="007F6B21"/>
    <w:rsid w:val="007F6C2A"/>
    <w:rsid w:val="007F6D65"/>
    <w:rsid w:val="007F6E4B"/>
    <w:rsid w:val="007F6E4C"/>
    <w:rsid w:val="007F6FD9"/>
    <w:rsid w:val="007F7023"/>
    <w:rsid w:val="007F704B"/>
    <w:rsid w:val="007F70CE"/>
    <w:rsid w:val="007F7117"/>
    <w:rsid w:val="007F711A"/>
    <w:rsid w:val="007F72B1"/>
    <w:rsid w:val="007F7452"/>
    <w:rsid w:val="007F74C0"/>
    <w:rsid w:val="007F7513"/>
    <w:rsid w:val="007F75FE"/>
    <w:rsid w:val="007F7879"/>
    <w:rsid w:val="007F78D5"/>
    <w:rsid w:val="007F79CC"/>
    <w:rsid w:val="007F7A24"/>
    <w:rsid w:val="007F7A7D"/>
    <w:rsid w:val="007F7A9C"/>
    <w:rsid w:val="007F7AB3"/>
    <w:rsid w:val="007F7BD8"/>
    <w:rsid w:val="007F7D3A"/>
    <w:rsid w:val="007F7DD5"/>
    <w:rsid w:val="007F7DDF"/>
    <w:rsid w:val="007F7E39"/>
    <w:rsid w:val="007F7EBE"/>
    <w:rsid w:val="0080009B"/>
    <w:rsid w:val="008000E3"/>
    <w:rsid w:val="00800124"/>
    <w:rsid w:val="0080019F"/>
    <w:rsid w:val="0080026B"/>
    <w:rsid w:val="0080036F"/>
    <w:rsid w:val="008003A0"/>
    <w:rsid w:val="008003F7"/>
    <w:rsid w:val="00800427"/>
    <w:rsid w:val="0080054E"/>
    <w:rsid w:val="00800588"/>
    <w:rsid w:val="008006D6"/>
    <w:rsid w:val="008007B2"/>
    <w:rsid w:val="008007F7"/>
    <w:rsid w:val="008007FE"/>
    <w:rsid w:val="008008C0"/>
    <w:rsid w:val="008008D2"/>
    <w:rsid w:val="00800919"/>
    <w:rsid w:val="008009B0"/>
    <w:rsid w:val="008009DC"/>
    <w:rsid w:val="00800A12"/>
    <w:rsid w:val="00800AEF"/>
    <w:rsid w:val="00800C26"/>
    <w:rsid w:val="00800EDF"/>
    <w:rsid w:val="00801152"/>
    <w:rsid w:val="00801222"/>
    <w:rsid w:val="00801321"/>
    <w:rsid w:val="0080133C"/>
    <w:rsid w:val="0080145D"/>
    <w:rsid w:val="0080146E"/>
    <w:rsid w:val="00801522"/>
    <w:rsid w:val="0080155C"/>
    <w:rsid w:val="00801644"/>
    <w:rsid w:val="00801651"/>
    <w:rsid w:val="00801680"/>
    <w:rsid w:val="008016EE"/>
    <w:rsid w:val="0080173A"/>
    <w:rsid w:val="008018AA"/>
    <w:rsid w:val="00801929"/>
    <w:rsid w:val="00801CF6"/>
    <w:rsid w:val="00801D03"/>
    <w:rsid w:val="00801D07"/>
    <w:rsid w:val="00801D21"/>
    <w:rsid w:val="00801DDD"/>
    <w:rsid w:val="00802065"/>
    <w:rsid w:val="00802090"/>
    <w:rsid w:val="00802149"/>
    <w:rsid w:val="0080220B"/>
    <w:rsid w:val="00802269"/>
    <w:rsid w:val="008025D1"/>
    <w:rsid w:val="00802678"/>
    <w:rsid w:val="008026B9"/>
    <w:rsid w:val="008029F4"/>
    <w:rsid w:val="00802AAB"/>
    <w:rsid w:val="00802AE5"/>
    <w:rsid w:val="00802B81"/>
    <w:rsid w:val="00802C0D"/>
    <w:rsid w:val="00802E71"/>
    <w:rsid w:val="008031C8"/>
    <w:rsid w:val="008031D2"/>
    <w:rsid w:val="00803352"/>
    <w:rsid w:val="00803474"/>
    <w:rsid w:val="00803510"/>
    <w:rsid w:val="00803661"/>
    <w:rsid w:val="00803835"/>
    <w:rsid w:val="00803BE7"/>
    <w:rsid w:val="00803C93"/>
    <w:rsid w:val="00803CE8"/>
    <w:rsid w:val="00803F1D"/>
    <w:rsid w:val="00804005"/>
    <w:rsid w:val="008040A2"/>
    <w:rsid w:val="008043A7"/>
    <w:rsid w:val="0080447A"/>
    <w:rsid w:val="0080451D"/>
    <w:rsid w:val="0080483D"/>
    <w:rsid w:val="0080486A"/>
    <w:rsid w:val="0080493D"/>
    <w:rsid w:val="00804A3B"/>
    <w:rsid w:val="00804BDF"/>
    <w:rsid w:val="00804D26"/>
    <w:rsid w:val="00804D81"/>
    <w:rsid w:val="00804DFE"/>
    <w:rsid w:val="00804FAD"/>
    <w:rsid w:val="0080522A"/>
    <w:rsid w:val="0080576B"/>
    <w:rsid w:val="008057E2"/>
    <w:rsid w:val="0080580B"/>
    <w:rsid w:val="00805842"/>
    <w:rsid w:val="008058BA"/>
    <w:rsid w:val="00805AC4"/>
    <w:rsid w:val="00805AFE"/>
    <w:rsid w:val="00805C97"/>
    <w:rsid w:val="00805DAE"/>
    <w:rsid w:val="00805DD6"/>
    <w:rsid w:val="00805DFD"/>
    <w:rsid w:val="00805EA2"/>
    <w:rsid w:val="00805EAF"/>
    <w:rsid w:val="00805ED5"/>
    <w:rsid w:val="00805F6F"/>
    <w:rsid w:val="0080601D"/>
    <w:rsid w:val="0080609F"/>
    <w:rsid w:val="008060A8"/>
    <w:rsid w:val="0080626B"/>
    <w:rsid w:val="008062E9"/>
    <w:rsid w:val="00806301"/>
    <w:rsid w:val="0080640F"/>
    <w:rsid w:val="008064DD"/>
    <w:rsid w:val="00806530"/>
    <w:rsid w:val="0080656E"/>
    <w:rsid w:val="008066E9"/>
    <w:rsid w:val="00806716"/>
    <w:rsid w:val="008067DB"/>
    <w:rsid w:val="008067ED"/>
    <w:rsid w:val="008069D7"/>
    <w:rsid w:val="00806AE3"/>
    <w:rsid w:val="00806CD2"/>
    <w:rsid w:val="00806CFB"/>
    <w:rsid w:val="00806D1B"/>
    <w:rsid w:val="00806DA8"/>
    <w:rsid w:val="00806EBC"/>
    <w:rsid w:val="00806EE7"/>
    <w:rsid w:val="0080702F"/>
    <w:rsid w:val="0080732D"/>
    <w:rsid w:val="00807361"/>
    <w:rsid w:val="008073E8"/>
    <w:rsid w:val="008074BD"/>
    <w:rsid w:val="008074FE"/>
    <w:rsid w:val="00807539"/>
    <w:rsid w:val="008075BF"/>
    <w:rsid w:val="008075E7"/>
    <w:rsid w:val="0080766A"/>
    <w:rsid w:val="008077D3"/>
    <w:rsid w:val="008079C8"/>
    <w:rsid w:val="00807A2B"/>
    <w:rsid w:val="00807B20"/>
    <w:rsid w:val="00807C9E"/>
    <w:rsid w:val="00807CCB"/>
    <w:rsid w:val="00807D99"/>
    <w:rsid w:val="00807E6E"/>
    <w:rsid w:val="00807EFB"/>
    <w:rsid w:val="0081003B"/>
    <w:rsid w:val="00810120"/>
    <w:rsid w:val="008101DC"/>
    <w:rsid w:val="008104D6"/>
    <w:rsid w:val="008106CE"/>
    <w:rsid w:val="00810721"/>
    <w:rsid w:val="0081080B"/>
    <w:rsid w:val="00810872"/>
    <w:rsid w:val="00810A58"/>
    <w:rsid w:val="00810C97"/>
    <w:rsid w:val="00810F20"/>
    <w:rsid w:val="00810F3C"/>
    <w:rsid w:val="008110C8"/>
    <w:rsid w:val="008111BA"/>
    <w:rsid w:val="00811372"/>
    <w:rsid w:val="008113CC"/>
    <w:rsid w:val="0081149E"/>
    <w:rsid w:val="0081165A"/>
    <w:rsid w:val="0081180F"/>
    <w:rsid w:val="008118EA"/>
    <w:rsid w:val="008118F0"/>
    <w:rsid w:val="00811943"/>
    <w:rsid w:val="008119EA"/>
    <w:rsid w:val="00811B64"/>
    <w:rsid w:val="00811EBA"/>
    <w:rsid w:val="00811EE9"/>
    <w:rsid w:val="00811FD8"/>
    <w:rsid w:val="008120FD"/>
    <w:rsid w:val="00812282"/>
    <w:rsid w:val="00812461"/>
    <w:rsid w:val="00812462"/>
    <w:rsid w:val="00812A26"/>
    <w:rsid w:val="00812A56"/>
    <w:rsid w:val="00812B52"/>
    <w:rsid w:val="00812BEE"/>
    <w:rsid w:val="00812C49"/>
    <w:rsid w:val="00812D9C"/>
    <w:rsid w:val="00812DBA"/>
    <w:rsid w:val="00812E63"/>
    <w:rsid w:val="00812E91"/>
    <w:rsid w:val="00813005"/>
    <w:rsid w:val="00813069"/>
    <w:rsid w:val="0081314B"/>
    <w:rsid w:val="008132F0"/>
    <w:rsid w:val="00813314"/>
    <w:rsid w:val="00813409"/>
    <w:rsid w:val="0081345B"/>
    <w:rsid w:val="00813469"/>
    <w:rsid w:val="00813598"/>
    <w:rsid w:val="008135A4"/>
    <w:rsid w:val="00813620"/>
    <w:rsid w:val="008136C1"/>
    <w:rsid w:val="0081370F"/>
    <w:rsid w:val="0081371A"/>
    <w:rsid w:val="0081373D"/>
    <w:rsid w:val="00813825"/>
    <w:rsid w:val="008138B5"/>
    <w:rsid w:val="008138F6"/>
    <w:rsid w:val="008139CE"/>
    <w:rsid w:val="00813A2C"/>
    <w:rsid w:val="00813A78"/>
    <w:rsid w:val="00813E5D"/>
    <w:rsid w:val="00813E86"/>
    <w:rsid w:val="00813F12"/>
    <w:rsid w:val="00814055"/>
    <w:rsid w:val="0081414C"/>
    <w:rsid w:val="0081435D"/>
    <w:rsid w:val="00814430"/>
    <w:rsid w:val="00814456"/>
    <w:rsid w:val="008144AF"/>
    <w:rsid w:val="008144D1"/>
    <w:rsid w:val="00814541"/>
    <w:rsid w:val="008145A6"/>
    <w:rsid w:val="00814627"/>
    <w:rsid w:val="008146E7"/>
    <w:rsid w:val="00814731"/>
    <w:rsid w:val="008147F4"/>
    <w:rsid w:val="008148A3"/>
    <w:rsid w:val="00814A4B"/>
    <w:rsid w:val="00814AAE"/>
    <w:rsid w:val="00814ADE"/>
    <w:rsid w:val="00814B79"/>
    <w:rsid w:val="00814BCA"/>
    <w:rsid w:val="00814C7A"/>
    <w:rsid w:val="00814F76"/>
    <w:rsid w:val="00814FEC"/>
    <w:rsid w:val="00815168"/>
    <w:rsid w:val="008152DB"/>
    <w:rsid w:val="008153C2"/>
    <w:rsid w:val="008153FF"/>
    <w:rsid w:val="008156E6"/>
    <w:rsid w:val="008158AE"/>
    <w:rsid w:val="008159F0"/>
    <w:rsid w:val="00815B78"/>
    <w:rsid w:val="00815BC4"/>
    <w:rsid w:val="00815C81"/>
    <w:rsid w:val="00815C8F"/>
    <w:rsid w:val="00815D24"/>
    <w:rsid w:val="00815D8C"/>
    <w:rsid w:val="00816029"/>
    <w:rsid w:val="008160F2"/>
    <w:rsid w:val="00816212"/>
    <w:rsid w:val="00816358"/>
    <w:rsid w:val="0081646F"/>
    <w:rsid w:val="00816554"/>
    <w:rsid w:val="0081664F"/>
    <w:rsid w:val="00816784"/>
    <w:rsid w:val="008167C0"/>
    <w:rsid w:val="00816886"/>
    <w:rsid w:val="008168A2"/>
    <w:rsid w:val="00816A9C"/>
    <w:rsid w:val="00816B99"/>
    <w:rsid w:val="00816C7F"/>
    <w:rsid w:val="00816CF8"/>
    <w:rsid w:val="00816D81"/>
    <w:rsid w:val="00816F1C"/>
    <w:rsid w:val="0081715E"/>
    <w:rsid w:val="00817330"/>
    <w:rsid w:val="00817390"/>
    <w:rsid w:val="00817449"/>
    <w:rsid w:val="00817455"/>
    <w:rsid w:val="00817476"/>
    <w:rsid w:val="00817553"/>
    <w:rsid w:val="008175A6"/>
    <w:rsid w:val="0081768C"/>
    <w:rsid w:val="008176C5"/>
    <w:rsid w:val="008176F9"/>
    <w:rsid w:val="0081774B"/>
    <w:rsid w:val="00817866"/>
    <w:rsid w:val="0081786F"/>
    <w:rsid w:val="00817A59"/>
    <w:rsid w:val="00817BDE"/>
    <w:rsid w:val="00817DD6"/>
    <w:rsid w:val="00817E41"/>
    <w:rsid w:val="00817EA7"/>
    <w:rsid w:val="00817F27"/>
    <w:rsid w:val="00817F3A"/>
    <w:rsid w:val="00817FB0"/>
    <w:rsid w:val="00820164"/>
    <w:rsid w:val="00820167"/>
    <w:rsid w:val="008203DA"/>
    <w:rsid w:val="0082048F"/>
    <w:rsid w:val="008204B6"/>
    <w:rsid w:val="008204C9"/>
    <w:rsid w:val="008205C1"/>
    <w:rsid w:val="00820764"/>
    <w:rsid w:val="00820A36"/>
    <w:rsid w:val="00820C4C"/>
    <w:rsid w:val="00820C78"/>
    <w:rsid w:val="00820E07"/>
    <w:rsid w:val="008213C6"/>
    <w:rsid w:val="008217DA"/>
    <w:rsid w:val="008217FC"/>
    <w:rsid w:val="00821884"/>
    <w:rsid w:val="008218E2"/>
    <w:rsid w:val="008218E9"/>
    <w:rsid w:val="008219DA"/>
    <w:rsid w:val="00821B50"/>
    <w:rsid w:val="00821DF7"/>
    <w:rsid w:val="00821EA5"/>
    <w:rsid w:val="00821EFB"/>
    <w:rsid w:val="00821F1B"/>
    <w:rsid w:val="00821FA1"/>
    <w:rsid w:val="008220AE"/>
    <w:rsid w:val="008220AF"/>
    <w:rsid w:val="00822166"/>
    <w:rsid w:val="0082221D"/>
    <w:rsid w:val="00822319"/>
    <w:rsid w:val="008225D6"/>
    <w:rsid w:val="008226BD"/>
    <w:rsid w:val="00822780"/>
    <w:rsid w:val="00822798"/>
    <w:rsid w:val="00822862"/>
    <w:rsid w:val="008228CC"/>
    <w:rsid w:val="0082290A"/>
    <w:rsid w:val="00822934"/>
    <w:rsid w:val="008229F4"/>
    <w:rsid w:val="00822A2E"/>
    <w:rsid w:val="00822AA0"/>
    <w:rsid w:val="00822AE1"/>
    <w:rsid w:val="00822BB7"/>
    <w:rsid w:val="00822C1C"/>
    <w:rsid w:val="00822D20"/>
    <w:rsid w:val="00822D81"/>
    <w:rsid w:val="00822DAF"/>
    <w:rsid w:val="00822F3D"/>
    <w:rsid w:val="00822FA3"/>
    <w:rsid w:val="00823200"/>
    <w:rsid w:val="0082324E"/>
    <w:rsid w:val="00823273"/>
    <w:rsid w:val="0082332B"/>
    <w:rsid w:val="008234BB"/>
    <w:rsid w:val="008235E2"/>
    <w:rsid w:val="0082363A"/>
    <w:rsid w:val="0082381B"/>
    <w:rsid w:val="00823B56"/>
    <w:rsid w:val="00823B89"/>
    <w:rsid w:val="00823E11"/>
    <w:rsid w:val="00823E8F"/>
    <w:rsid w:val="0082403A"/>
    <w:rsid w:val="00824048"/>
    <w:rsid w:val="00824232"/>
    <w:rsid w:val="008244CF"/>
    <w:rsid w:val="008244FF"/>
    <w:rsid w:val="0082467C"/>
    <w:rsid w:val="00824735"/>
    <w:rsid w:val="008248A1"/>
    <w:rsid w:val="008248D7"/>
    <w:rsid w:val="0082497F"/>
    <w:rsid w:val="00824DB1"/>
    <w:rsid w:val="00824E5F"/>
    <w:rsid w:val="0082512E"/>
    <w:rsid w:val="008252A6"/>
    <w:rsid w:val="00825368"/>
    <w:rsid w:val="00825415"/>
    <w:rsid w:val="00825706"/>
    <w:rsid w:val="0082576A"/>
    <w:rsid w:val="008257B8"/>
    <w:rsid w:val="008259E5"/>
    <w:rsid w:val="00825A03"/>
    <w:rsid w:val="00825B13"/>
    <w:rsid w:val="00825C5B"/>
    <w:rsid w:val="00825D62"/>
    <w:rsid w:val="00825ED0"/>
    <w:rsid w:val="00825F3A"/>
    <w:rsid w:val="00825F51"/>
    <w:rsid w:val="0082605C"/>
    <w:rsid w:val="008260C0"/>
    <w:rsid w:val="008260C3"/>
    <w:rsid w:val="008261A4"/>
    <w:rsid w:val="008261D8"/>
    <w:rsid w:val="008262A7"/>
    <w:rsid w:val="008262E6"/>
    <w:rsid w:val="0082633C"/>
    <w:rsid w:val="00826490"/>
    <w:rsid w:val="008264F9"/>
    <w:rsid w:val="008265E2"/>
    <w:rsid w:val="00826657"/>
    <w:rsid w:val="008267A6"/>
    <w:rsid w:val="008267E8"/>
    <w:rsid w:val="0082682A"/>
    <w:rsid w:val="008268E4"/>
    <w:rsid w:val="008268F5"/>
    <w:rsid w:val="008268F8"/>
    <w:rsid w:val="00826930"/>
    <w:rsid w:val="00826954"/>
    <w:rsid w:val="00826AFD"/>
    <w:rsid w:val="00826B1C"/>
    <w:rsid w:val="00826CF7"/>
    <w:rsid w:val="00826DDE"/>
    <w:rsid w:val="00826E6A"/>
    <w:rsid w:val="00826ECF"/>
    <w:rsid w:val="00826F40"/>
    <w:rsid w:val="00826F75"/>
    <w:rsid w:val="00826F86"/>
    <w:rsid w:val="00826FF7"/>
    <w:rsid w:val="00827114"/>
    <w:rsid w:val="00827164"/>
    <w:rsid w:val="008271EE"/>
    <w:rsid w:val="008271FC"/>
    <w:rsid w:val="008272C6"/>
    <w:rsid w:val="0082769F"/>
    <w:rsid w:val="008278F9"/>
    <w:rsid w:val="008279CE"/>
    <w:rsid w:val="00827A5F"/>
    <w:rsid w:val="00827AB2"/>
    <w:rsid w:val="00827B05"/>
    <w:rsid w:val="00827B63"/>
    <w:rsid w:val="00827BE6"/>
    <w:rsid w:val="00827FD2"/>
    <w:rsid w:val="00827FE8"/>
    <w:rsid w:val="00830097"/>
    <w:rsid w:val="0083016E"/>
    <w:rsid w:val="00830183"/>
    <w:rsid w:val="008301F8"/>
    <w:rsid w:val="00830349"/>
    <w:rsid w:val="008304F3"/>
    <w:rsid w:val="0083064C"/>
    <w:rsid w:val="008306F7"/>
    <w:rsid w:val="00830727"/>
    <w:rsid w:val="00830774"/>
    <w:rsid w:val="0083083E"/>
    <w:rsid w:val="0083086E"/>
    <w:rsid w:val="0083088E"/>
    <w:rsid w:val="00830962"/>
    <w:rsid w:val="00830A5E"/>
    <w:rsid w:val="0083114E"/>
    <w:rsid w:val="008311AF"/>
    <w:rsid w:val="008311B8"/>
    <w:rsid w:val="0083121C"/>
    <w:rsid w:val="00831368"/>
    <w:rsid w:val="00831470"/>
    <w:rsid w:val="00831547"/>
    <w:rsid w:val="008315F2"/>
    <w:rsid w:val="0083182D"/>
    <w:rsid w:val="0083188B"/>
    <w:rsid w:val="008319FC"/>
    <w:rsid w:val="00831A06"/>
    <w:rsid w:val="00831A1D"/>
    <w:rsid w:val="00831D14"/>
    <w:rsid w:val="00831D7E"/>
    <w:rsid w:val="00831DBB"/>
    <w:rsid w:val="00831F20"/>
    <w:rsid w:val="00831F42"/>
    <w:rsid w:val="00831F8D"/>
    <w:rsid w:val="00832050"/>
    <w:rsid w:val="00832262"/>
    <w:rsid w:val="008323F0"/>
    <w:rsid w:val="00832414"/>
    <w:rsid w:val="00832522"/>
    <w:rsid w:val="00832602"/>
    <w:rsid w:val="008326C8"/>
    <w:rsid w:val="008326CC"/>
    <w:rsid w:val="008327C0"/>
    <w:rsid w:val="008327F1"/>
    <w:rsid w:val="00832803"/>
    <w:rsid w:val="008328D2"/>
    <w:rsid w:val="008328E2"/>
    <w:rsid w:val="008329A0"/>
    <w:rsid w:val="00832BB9"/>
    <w:rsid w:val="00832BE7"/>
    <w:rsid w:val="00832C00"/>
    <w:rsid w:val="00832C67"/>
    <w:rsid w:val="00832D97"/>
    <w:rsid w:val="00832EDA"/>
    <w:rsid w:val="00832FB8"/>
    <w:rsid w:val="0083337B"/>
    <w:rsid w:val="008335F7"/>
    <w:rsid w:val="00833624"/>
    <w:rsid w:val="00833774"/>
    <w:rsid w:val="00833809"/>
    <w:rsid w:val="008338B5"/>
    <w:rsid w:val="00833C0E"/>
    <w:rsid w:val="00833CEB"/>
    <w:rsid w:val="00833D8D"/>
    <w:rsid w:val="00834062"/>
    <w:rsid w:val="00834158"/>
    <w:rsid w:val="0083420B"/>
    <w:rsid w:val="00834243"/>
    <w:rsid w:val="00834293"/>
    <w:rsid w:val="00834338"/>
    <w:rsid w:val="008343A3"/>
    <w:rsid w:val="008343B7"/>
    <w:rsid w:val="008343C7"/>
    <w:rsid w:val="00834421"/>
    <w:rsid w:val="00834543"/>
    <w:rsid w:val="00834622"/>
    <w:rsid w:val="008346E7"/>
    <w:rsid w:val="0083471D"/>
    <w:rsid w:val="008347AD"/>
    <w:rsid w:val="00834868"/>
    <w:rsid w:val="00834950"/>
    <w:rsid w:val="00834A1A"/>
    <w:rsid w:val="00834AD1"/>
    <w:rsid w:val="00834DCB"/>
    <w:rsid w:val="00834E2E"/>
    <w:rsid w:val="00834E46"/>
    <w:rsid w:val="00835030"/>
    <w:rsid w:val="00835162"/>
    <w:rsid w:val="0083519A"/>
    <w:rsid w:val="00835552"/>
    <w:rsid w:val="0083569D"/>
    <w:rsid w:val="0083569E"/>
    <w:rsid w:val="008356A5"/>
    <w:rsid w:val="008356D1"/>
    <w:rsid w:val="0083584A"/>
    <w:rsid w:val="008359B6"/>
    <w:rsid w:val="00835AEC"/>
    <w:rsid w:val="00835C8B"/>
    <w:rsid w:val="00835FBC"/>
    <w:rsid w:val="008360DD"/>
    <w:rsid w:val="00836287"/>
    <w:rsid w:val="00836353"/>
    <w:rsid w:val="008364BC"/>
    <w:rsid w:val="0083658B"/>
    <w:rsid w:val="00836591"/>
    <w:rsid w:val="0083662A"/>
    <w:rsid w:val="0083680B"/>
    <w:rsid w:val="00836C2D"/>
    <w:rsid w:val="00836D2A"/>
    <w:rsid w:val="00836D6B"/>
    <w:rsid w:val="00836DBB"/>
    <w:rsid w:val="00836DD4"/>
    <w:rsid w:val="00836F42"/>
    <w:rsid w:val="00836FA1"/>
    <w:rsid w:val="008371C8"/>
    <w:rsid w:val="008372A8"/>
    <w:rsid w:val="0083734F"/>
    <w:rsid w:val="008374C4"/>
    <w:rsid w:val="008378B7"/>
    <w:rsid w:val="00837B43"/>
    <w:rsid w:val="00837BD2"/>
    <w:rsid w:val="00837C3D"/>
    <w:rsid w:val="00837CD8"/>
    <w:rsid w:val="00837E5F"/>
    <w:rsid w:val="00837F7E"/>
    <w:rsid w:val="00837F81"/>
    <w:rsid w:val="00837FEF"/>
    <w:rsid w:val="00840194"/>
    <w:rsid w:val="008402D9"/>
    <w:rsid w:val="0084033B"/>
    <w:rsid w:val="008403B2"/>
    <w:rsid w:val="008403D4"/>
    <w:rsid w:val="00840737"/>
    <w:rsid w:val="008407EF"/>
    <w:rsid w:val="0084085D"/>
    <w:rsid w:val="0084086D"/>
    <w:rsid w:val="00840921"/>
    <w:rsid w:val="00840A17"/>
    <w:rsid w:val="00840AE3"/>
    <w:rsid w:val="00840C25"/>
    <w:rsid w:val="00840EB7"/>
    <w:rsid w:val="0084104F"/>
    <w:rsid w:val="0084110A"/>
    <w:rsid w:val="008411BB"/>
    <w:rsid w:val="008413ED"/>
    <w:rsid w:val="008414D4"/>
    <w:rsid w:val="008414E1"/>
    <w:rsid w:val="00841639"/>
    <w:rsid w:val="008416BF"/>
    <w:rsid w:val="00841791"/>
    <w:rsid w:val="00841806"/>
    <w:rsid w:val="00841A3C"/>
    <w:rsid w:val="00841BFF"/>
    <w:rsid w:val="00841DDA"/>
    <w:rsid w:val="00841DE4"/>
    <w:rsid w:val="00841E74"/>
    <w:rsid w:val="00841FD6"/>
    <w:rsid w:val="00842055"/>
    <w:rsid w:val="00842167"/>
    <w:rsid w:val="00842204"/>
    <w:rsid w:val="00842328"/>
    <w:rsid w:val="008423E0"/>
    <w:rsid w:val="00842437"/>
    <w:rsid w:val="008424A4"/>
    <w:rsid w:val="008424CF"/>
    <w:rsid w:val="00842642"/>
    <w:rsid w:val="008427D5"/>
    <w:rsid w:val="00842840"/>
    <w:rsid w:val="0084286F"/>
    <w:rsid w:val="008429E9"/>
    <w:rsid w:val="00842A4D"/>
    <w:rsid w:val="00842B2E"/>
    <w:rsid w:val="00842C55"/>
    <w:rsid w:val="00842E2E"/>
    <w:rsid w:val="008430F2"/>
    <w:rsid w:val="00843149"/>
    <w:rsid w:val="00843155"/>
    <w:rsid w:val="0084315F"/>
    <w:rsid w:val="00843173"/>
    <w:rsid w:val="00843262"/>
    <w:rsid w:val="008432A3"/>
    <w:rsid w:val="008432D5"/>
    <w:rsid w:val="00843340"/>
    <w:rsid w:val="00843366"/>
    <w:rsid w:val="00843376"/>
    <w:rsid w:val="008433CF"/>
    <w:rsid w:val="00843470"/>
    <w:rsid w:val="0084348C"/>
    <w:rsid w:val="00843533"/>
    <w:rsid w:val="00843567"/>
    <w:rsid w:val="00843590"/>
    <w:rsid w:val="008436A3"/>
    <w:rsid w:val="00843873"/>
    <w:rsid w:val="008438E4"/>
    <w:rsid w:val="00843913"/>
    <w:rsid w:val="0084391C"/>
    <w:rsid w:val="008439D4"/>
    <w:rsid w:val="00843A58"/>
    <w:rsid w:val="00843DD1"/>
    <w:rsid w:val="00843EBC"/>
    <w:rsid w:val="00843F90"/>
    <w:rsid w:val="00843FC6"/>
    <w:rsid w:val="0084415E"/>
    <w:rsid w:val="00844167"/>
    <w:rsid w:val="00844175"/>
    <w:rsid w:val="0084421A"/>
    <w:rsid w:val="00844281"/>
    <w:rsid w:val="0084441E"/>
    <w:rsid w:val="00844466"/>
    <w:rsid w:val="008444A3"/>
    <w:rsid w:val="008444F7"/>
    <w:rsid w:val="0084457F"/>
    <w:rsid w:val="008445A5"/>
    <w:rsid w:val="008445DB"/>
    <w:rsid w:val="00844736"/>
    <w:rsid w:val="00844886"/>
    <w:rsid w:val="008448D0"/>
    <w:rsid w:val="0084491E"/>
    <w:rsid w:val="0084495E"/>
    <w:rsid w:val="008449D0"/>
    <w:rsid w:val="00844A03"/>
    <w:rsid w:val="00844A34"/>
    <w:rsid w:val="00844B14"/>
    <w:rsid w:val="00844B1F"/>
    <w:rsid w:val="00844B3E"/>
    <w:rsid w:val="00844BAA"/>
    <w:rsid w:val="00844C36"/>
    <w:rsid w:val="00844C52"/>
    <w:rsid w:val="00844CF8"/>
    <w:rsid w:val="00844F7B"/>
    <w:rsid w:val="00845189"/>
    <w:rsid w:val="00845196"/>
    <w:rsid w:val="008452BA"/>
    <w:rsid w:val="008452D9"/>
    <w:rsid w:val="0084533E"/>
    <w:rsid w:val="0084535A"/>
    <w:rsid w:val="0084540A"/>
    <w:rsid w:val="00845492"/>
    <w:rsid w:val="008454AC"/>
    <w:rsid w:val="00845556"/>
    <w:rsid w:val="008455A8"/>
    <w:rsid w:val="0084566D"/>
    <w:rsid w:val="00845720"/>
    <w:rsid w:val="0084573E"/>
    <w:rsid w:val="008457F8"/>
    <w:rsid w:val="008458B8"/>
    <w:rsid w:val="00845958"/>
    <w:rsid w:val="00845ACF"/>
    <w:rsid w:val="00845B1F"/>
    <w:rsid w:val="00845C10"/>
    <w:rsid w:val="00845C19"/>
    <w:rsid w:val="00845D17"/>
    <w:rsid w:val="00845D74"/>
    <w:rsid w:val="00845EA9"/>
    <w:rsid w:val="00845F9D"/>
    <w:rsid w:val="0084609B"/>
    <w:rsid w:val="00846161"/>
    <w:rsid w:val="0084616A"/>
    <w:rsid w:val="008463C7"/>
    <w:rsid w:val="00846459"/>
    <w:rsid w:val="00846686"/>
    <w:rsid w:val="008466F6"/>
    <w:rsid w:val="00846806"/>
    <w:rsid w:val="008468A9"/>
    <w:rsid w:val="00846A7E"/>
    <w:rsid w:val="00846AFF"/>
    <w:rsid w:val="00846B49"/>
    <w:rsid w:val="00846BE6"/>
    <w:rsid w:val="00846C7B"/>
    <w:rsid w:val="00846CB4"/>
    <w:rsid w:val="00846E64"/>
    <w:rsid w:val="00846EA5"/>
    <w:rsid w:val="00847068"/>
    <w:rsid w:val="008470A8"/>
    <w:rsid w:val="008470E2"/>
    <w:rsid w:val="008470ED"/>
    <w:rsid w:val="0084713D"/>
    <w:rsid w:val="00847179"/>
    <w:rsid w:val="0084722A"/>
    <w:rsid w:val="008472CF"/>
    <w:rsid w:val="008472EC"/>
    <w:rsid w:val="008473A4"/>
    <w:rsid w:val="00847620"/>
    <w:rsid w:val="00847663"/>
    <w:rsid w:val="0084789E"/>
    <w:rsid w:val="00847A40"/>
    <w:rsid w:val="00847AB7"/>
    <w:rsid w:val="00847D45"/>
    <w:rsid w:val="00847F1A"/>
    <w:rsid w:val="00850135"/>
    <w:rsid w:val="0085042B"/>
    <w:rsid w:val="0085045E"/>
    <w:rsid w:val="00850668"/>
    <w:rsid w:val="008507DB"/>
    <w:rsid w:val="00850987"/>
    <w:rsid w:val="00850B4E"/>
    <w:rsid w:val="00850BA6"/>
    <w:rsid w:val="00850DB5"/>
    <w:rsid w:val="00850DFF"/>
    <w:rsid w:val="00850E62"/>
    <w:rsid w:val="00850EBA"/>
    <w:rsid w:val="00850EC7"/>
    <w:rsid w:val="00850EE6"/>
    <w:rsid w:val="00850F30"/>
    <w:rsid w:val="00850F4D"/>
    <w:rsid w:val="00850F51"/>
    <w:rsid w:val="00851117"/>
    <w:rsid w:val="00851119"/>
    <w:rsid w:val="00851250"/>
    <w:rsid w:val="008513B7"/>
    <w:rsid w:val="008515BD"/>
    <w:rsid w:val="008515F8"/>
    <w:rsid w:val="0085161B"/>
    <w:rsid w:val="00851737"/>
    <w:rsid w:val="00851908"/>
    <w:rsid w:val="0085191B"/>
    <w:rsid w:val="0085193D"/>
    <w:rsid w:val="008519E4"/>
    <w:rsid w:val="00851A2F"/>
    <w:rsid w:val="00851AEE"/>
    <w:rsid w:val="00851B30"/>
    <w:rsid w:val="00851CC7"/>
    <w:rsid w:val="00851DD5"/>
    <w:rsid w:val="00851DF7"/>
    <w:rsid w:val="00851E78"/>
    <w:rsid w:val="00851F3B"/>
    <w:rsid w:val="00851F95"/>
    <w:rsid w:val="00851F99"/>
    <w:rsid w:val="00851FA1"/>
    <w:rsid w:val="00852143"/>
    <w:rsid w:val="008521AD"/>
    <w:rsid w:val="00852223"/>
    <w:rsid w:val="00852259"/>
    <w:rsid w:val="008523AA"/>
    <w:rsid w:val="008523C7"/>
    <w:rsid w:val="008525B1"/>
    <w:rsid w:val="00852667"/>
    <w:rsid w:val="00852670"/>
    <w:rsid w:val="008526EF"/>
    <w:rsid w:val="00852848"/>
    <w:rsid w:val="0085284B"/>
    <w:rsid w:val="00852A8C"/>
    <w:rsid w:val="00852B37"/>
    <w:rsid w:val="00852BEC"/>
    <w:rsid w:val="00852DB3"/>
    <w:rsid w:val="00852E25"/>
    <w:rsid w:val="00852EB7"/>
    <w:rsid w:val="00852EDB"/>
    <w:rsid w:val="00853006"/>
    <w:rsid w:val="008530EB"/>
    <w:rsid w:val="00853163"/>
    <w:rsid w:val="0085316B"/>
    <w:rsid w:val="008531E6"/>
    <w:rsid w:val="0085330D"/>
    <w:rsid w:val="0085339E"/>
    <w:rsid w:val="00853477"/>
    <w:rsid w:val="0085351F"/>
    <w:rsid w:val="008535AF"/>
    <w:rsid w:val="008536EC"/>
    <w:rsid w:val="00853991"/>
    <w:rsid w:val="00853ADC"/>
    <w:rsid w:val="00853AE4"/>
    <w:rsid w:val="00853CA5"/>
    <w:rsid w:val="00853EC3"/>
    <w:rsid w:val="00854035"/>
    <w:rsid w:val="0085416E"/>
    <w:rsid w:val="00854186"/>
    <w:rsid w:val="008541CB"/>
    <w:rsid w:val="00854241"/>
    <w:rsid w:val="00854765"/>
    <w:rsid w:val="008547D5"/>
    <w:rsid w:val="008548D7"/>
    <w:rsid w:val="00854B8E"/>
    <w:rsid w:val="00854C4C"/>
    <w:rsid w:val="00854D02"/>
    <w:rsid w:val="00854E73"/>
    <w:rsid w:val="00854E74"/>
    <w:rsid w:val="00855068"/>
    <w:rsid w:val="00855254"/>
    <w:rsid w:val="00855316"/>
    <w:rsid w:val="008553A5"/>
    <w:rsid w:val="00855414"/>
    <w:rsid w:val="00855480"/>
    <w:rsid w:val="0085548C"/>
    <w:rsid w:val="00855701"/>
    <w:rsid w:val="008557DA"/>
    <w:rsid w:val="008557DE"/>
    <w:rsid w:val="008557F9"/>
    <w:rsid w:val="00855966"/>
    <w:rsid w:val="00855A61"/>
    <w:rsid w:val="00855A8D"/>
    <w:rsid w:val="00855B7B"/>
    <w:rsid w:val="00855BD7"/>
    <w:rsid w:val="00855C8B"/>
    <w:rsid w:val="00855CA6"/>
    <w:rsid w:val="00855E9D"/>
    <w:rsid w:val="00855F48"/>
    <w:rsid w:val="00855F9C"/>
    <w:rsid w:val="00856016"/>
    <w:rsid w:val="00856143"/>
    <w:rsid w:val="00856170"/>
    <w:rsid w:val="00856178"/>
    <w:rsid w:val="008561C8"/>
    <w:rsid w:val="00856218"/>
    <w:rsid w:val="008562C8"/>
    <w:rsid w:val="008563BA"/>
    <w:rsid w:val="008566BA"/>
    <w:rsid w:val="0085671A"/>
    <w:rsid w:val="008569B7"/>
    <w:rsid w:val="008569CA"/>
    <w:rsid w:val="008569CF"/>
    <w:rsid w:val="00856A18"/>
    <w:rsid w:val="00856BC4"/>
    <w:rsid w:val="00856C7E"/>
    <w:rsid w:val="00856C98"/>
    <w:rsid w:val="00856DDF"/>
    <w:rsid w:val="00856E01"/>
    <w:rsid w:val="00856E0F"/>
    <w:rsid w:val="00856E12"/>
    <w:rsid w:val="00856E28"/>
    <w:rsid w:val="00856E64"/>
    <w:rsid w:val="00856FEB"/>
    <w:rsid w:val="0085709B"/>
    <w:rsid w:val="008570CC"/>
    <w:rsid w:val="008571D4"/>
    <w:rsid w:val="008573D4"/>
    <w:rsid w:val="00857969"/>
    <w:rsid w:val="00857A11"/>
    <w:rsid w:val="00857B20"/>
    <w:rsid w:val="00857BA8"/>
    <w:rsid w:val="00857BB2"/>
    <w:rsid w:val="00857CFF"/>
    <w:rsid w:val="00857F83"/>
    <w:rsid w:val="00857F8D"/>
    <w:rsid w:val="0086018A"/>
    <w:rsid w:val="008603F1"/>
    <w:rsid w:val="0086072E"/>
    <w:rsid w:val="00860812"/>
    <w:rsid w:val="0086081F"/>
    <w:rsid w:val="00860839"/>
    <w:rsid w:val="00860934"/>
    <w:rsid w:val="00860969"/>
    <w:rsid w:val="008609F7"/>
    <w:rsid w:val="00860A08"/>
    <w:rsid w:val="00860B07"/>
    <w:rsid w:val="00860CE3"/>
    <w:rsid w:val="00860D49"/>
    <w:rsid w:val="00860E5D"/>
    <w:rsid w:val="0086111C"/>
    <w:rsid w:val="0086119C"/>
    <w:rsid w:val="00861385"/>
    <w:rsid w:val="0086148A"/>
    <w:rsid w:val="008614BC"/>
    <w:rsid w:val="008614DD"/>
    <w:rsid w:val="0086170B"/>
    <w:rsid w:val="00861717"/>
    <w:rsid w:val="008617DB"/>
    <w:rsid w:val="00861848"/>
    <w:rsid w:val="00861888"/>
    <w:rsid w:val="008618AA"/>
    <w:rsid w:val="008618D0"/>
    <w:rsid w:val="0086194D"/>
    <w:rsid w:val="008619F1"/>
    <w:rsid w:val="00861B2D"/>
    <w:rsid w:val="00861C47"/>
    <w:rsid w:val="00861CFB"/>
    <w:rsid w:val="00861E8D"/>
    <w:rsid w:val="00861E8E"/>
    <w:rsid w:val="00861F5C"/>
    <w:rsid w:val="00862173"/>
    <w:rsid w:val="008622FB"/>
    <w:rsid w:val="0086233A"/>
    <w:rsid w:val="00862401"/>
    <w:rsid w:val="0086268D"/>
    <w:rsid w:val="008626AC"/>
    <w:rsid w:val="00862709"/>
    <w:rsid w:val="00862720"/>
    <w:rsid w:val="00862745"/>
    <w:rsid w:val="008627B8"/>
    <w:rsid w:val="00862847"/>
    <w:rsid w:val="00862861"/>
    <w:rsid w:val="00862A8F"/>
    <w:rsid w:val="00862B83"/>
    <w:rsid w:val="00862D88"/>
    <w:rsid w:val="00862E56"/>
    <w:rsid w:val="00863011"/>
    <w:rsid w:val="008632F3"/>
    <w:rsid w:val="00863331"/>
    <w:rsid w:val="008634D6"/>
    <w:rsid w:val="0086350D"/>
    <w:rsid w:val="00863AC1"/>
    <w:rsid w:val="00863C38"/>
    <w:rsid w:val="00863C8C"/>
    <w:rsid w:val="00863C94"/>
    <w:rsid w:val="00863CEC"/>
    <w:rsid w:val="00863D02"/>
    <w:rsid w:val="00863D5C"/>
    <w:rsid w:val="0086403F"/>
    <w:rsid w:val="0086407A"/>
    <w:rsid w:val="008641B2"/>
    <w:rsid w:val="00864481"/>
    <w:rsid w:val="008645B3"/>
    <w:rsid w:val="00864861"/>
    <w:rsid w:val="008648E4"/>
    <w:rsid w:val="00864949"/>
    <w:rsid w:val="00864995"/>
    <w:rsid w:val="00864B63"/>
    <w:rsid w:val="00864BD3"/>
    <w:rsid w:val="00864DD7"/>
    <w:rsid w:val="00864E7A"/>
    <w:rsid w:val="00864F1D"/>
    <w:rsid w:val="00864FF0"/>
    <w:rsid w:val="00865111"/>
    <w:rsid w:val="00865140"/>
    <w:rsid w:val="00865213"/>
    <w:rsid w:val="00865342"/>
    <w:rsid w:val="008653DC"/>
    <w:rsid w:val="0086559E"/>
    <w:rsid w:val="008656CF"/>
    <w:rsid w:val="008657EE"/>
    <w:rsid w:val="008658C2"/>
    <w:rsid w:val="00865A26"/>
    <w:rsid w:val="00865A35"/>
    <w:rsid w:val="00865AF5"/>
    <w:rsid w:val="00865B07"/>
    <w:rsid w:val="00865D9D"/>
    <w:rsid w:val="00865F5A"/>
    <w:rsid w:val="00865F73"/>
    <w:rsid w:val="0086602C"/>
    <w:rsid w:val="0086607C"/>
    <w:rsid w:val="0086609C"/>
    <w:rsid w:val="0086609E"/>
    <w:rsid w:val="00866265"/>
    <w:rsid w:val="0086629B"/>
    <w:rsid w:val="008663DC"/>
    <w:rsid w:val="00866485"/>
    <w:rsid w:val="00866608"/>
    <w:rsid w:val="008666B7"/>
    <w:rsid w:val="00866725"/>
    <w:rsid w:val="0086695F"/>
    <w:rsid w:val="00866986"/>
    <w:rsid w:val="00866A14"/>
    <w:rsid w:val="00866B52"/>
    <w:rsid w:val="00866B6A"/>
    <w:rsid w:val="00866CCC"/>
    <w:rsid w:val="00866E64"/>
    <w:rsid w:val="00867206"/>
    <w:rsid w:val="008672DD"/>
    <w:rsid w:val="00867305"/>
    <w:rsid w:val="008673E7"/>
    <w:rsid w:val="008678FC"/>
    <w:rsid w:val="00867958"/>
    <w:rsid w:val="00867993"/>
    <w:rsid w:val="008679BD"/>
    <w:rsid w:val="00867A8C"/>
    <w:rsid w:val="00867D27"/>
    <w:rsid w:val="00867F61"/>
    <w:rsid w:val="00867FFB"/>
    <w:rsid w:val="00870136"/>
    <w:rsid w:val="0087023E"/>
    <w:rsid w:val="00870273"/>
    <w:rsid w:val="00870586"/>
    <w:rsid w:val="00870734"/>
    <w:rsid w:val="00870760"/>
    <w:rsid w:val="00870897"/>
    <w:rsid w:val="00870918"/>
    <w:rsid w:val="00870A71"/>
    <w:rsid w:val="00870CA4"/>
    <w:rsid w:val="00870D05"/>
    <w:rsid w:val="00870DBD"/>
    <w:rsid w:val="00870E31"/>
    <w:rsid w:val="00871169"/>
    <w:rsid w:val="008711C9"/>
    <w:rsid w:val="008712E4"/>
    <w:rsid w:val="008714F1"/>
    <w:rsid w:val="00871511"/>
    <w:rsid w:val="0087159A"/>
    <w:rsid w:val="008715AF"/>
    <w:rsid w:val="008717D8"/>
    <w:rsid w:val="00871ADD"/>
    <w:rsid w:val="00871CCE"/>
    <w:rsid w:val="00871DC4"/>
    <w:rsid w:val="00871EDA"/>
    <w:rsid w:val="00872016"/>
    <w:rsid w:val="008720B4"/>
    <w:rsid w:val="008720D6"/>
    <w:rsid w:val="00872150"/>
    <w:rsid w:val="008723FA"/>
    <w:rsid w:val="008725E1"/>
    <w:rsid w:val="00872655"/>
    <w:rsid w:val="0087273E"/>
    <w:rsid w:val="00872750"/>
    <w:rsid w:val="00872753"/>
    <w:rsid w:val="00872858"/>
    <w:rsid w:val="00872946"/>
    <w:rsid w:val="0087298A"/>
    <w:rsid w:val="00872BD4"/>
    <w:rsid w:val="00872C08"/>
    <w:rsid w:val="00872D11"/>
    <w:rsid w:val="00872D5B"/>
    <w:rsid w:val="00872D7A"/>
    <w:rsid w:val="00872D98"/>
    <w:rsid w:val="00872DCA"/>
    <w:rsid w:val="00872FC6"/>
    <w:rsid w:val="0087303F"/>
    <w:rsid w:val="00873109"/>
    <w:rsid w:val="00873141"/>
    <w:rsid w:val="00873157"/>
    <w:rsid w:val="008731EC"/>
    <w:rsid w:val="008732EC"/>
    <w:rsid w:val="0087332E"/>
    <w:rsid w:val="008733AC"/>
    <w:rsid w:val="008734E9"/>
    <w:rsid w:val="00873563"/>
    <w:rsid w:val="008735A0"/>
    <w:rsid w:val="008735CB"/>
    <w:rsid w:val="008737C1"/>
    <w:rsid w:val="008737C6"/>
    <w:rsid w:val="00873994"/>
    <w:rsid w:val="00873AFB"/>
    <w:rsid w:val="00873B62"/>
    <w:rsid w:val="00873BFC"/>
    <w:rsid w:val="00873C4C"/>
    <w:rsid w:val="00873E42"/>
    <w:rsid w:val="00873F06"/>
    <w:rsid w:val="00873F6E"/>
    <w:rsid w:val="00873F96"/>
    <w:rsid w:val="008740CE"/>
    <w:rsid w:val="008741D5"/>
    <w:rsid w:val="00874232"/>
    <w:rsid w:val="008743F7"/>
    <w:rsid w:val="0087441D"/>
    <w:rsid w:val="0087443F"/>
    <w:rsid w:val="008744ED"/>
    <w:rsid w:val="00874566"/>
    <w:rsid w:val="008745C9"/>
    <w:rsid w:val="00874668"/>
    <w:rsid w:val="00874794"/>
    <w:rsid w:val="00874939"/>
    <w:rsid w:val="00874BCC"/>
    <w:rsid w:val="00874C9B"/>
    <w:rsid w:val="00874CB3"/>
    <w:rsid w:val="00874DA7"/>
    <w:rsid w:val="00874DAD"/>
    <w:rsid w:val="00874E32"/>
    <w:rsid w:val="00875314"/>
    <w:rsid w:val="0087544A"/>
    <w:rsid w:val="008754B2"/>
    <w:rsid w:val="008755C0"/>
    <w:rsid w:val="0087562F"/>
    <w:rsid w:val="008758E2"/>
    <w:rsid w:val="00875995"/>
    <w:rsid w:val="00875A15"/>
    <w:rsid w:val="00875A5A"/>
    <w:rsid w:val="00875ACD"/>
    <w:rsid w:val="00875C0E"/>
    <w:rsid w:val="00875D81"/>
    <w:rsid w:val="00875E00"/>
    <w:rsid w:val="00875F71"/>
    <w:rsid w:val="0087608A"/>
    <w:rsid w:val="00876130"/>
    <w:rsid w:val="00876491"/>
    <w:rsid w:val="0087658C"/>
    <w:rsid w:val="008765B0"/>
    <w:rsid w:val="0087661D"/>
    <w:rsid w:val="0087681D"/>
    <w:rsid w:val="0087699A"/>
    <w:rsid w:val="00876A96"/>
    <w:rsid w:val="00876AB7"/>
    <w:rsid w:val="00876B22"/>
    <w:rsid w:val="00876B59"/>
    <w:rsid w:val="00876C1C"/>
    <w:rsid w:val="00876DF1"/>
    <w:rsid w:val="008770E9"/>
    <w:rsid w:val="00877433"/>
    <w:rsid w:val="00877623"/>
    <w:rsid w:val="00877680"/>
    <w:rsid w:val="00877748"/>
    <w:rsid w:val="00877816"/>
    <w:rsid w:val="008779A6"/>
    <w:rsid w:val="008779FD"/>
    <w:rsid w:val="00877A80"/>
    <w:rsid w:val="00877A8C"/>
    <w:rsid w:val="00877BD4"/>
    <w:rsid w:val="00877D27"/>
    <w:rsid w:val="00877EDC"/>
    <w:rsid w:val="00877FF1"/>
    <w:rsid w:val="00880072"/>
    <w:rsid w:val="008800CF"/>
    <w:rsid w:val="00880102"/>
    <w:rsid w:val="008802EE"/>
    <w:rsid w:val="0088039B"/>
    <w:rsid w:val="00880643"/>
    <w:rsid w:val="008806DC"/>
    <w:rsid w:val="008807BB"/>
    <w:rsid w:val="00880867"/>
    <w:rsid w:val="008809F3"/>
    <w:rsid w:val="00880A02"/>
    <w:rsid w:val="00880A45"/>
    <w:rsid w:val="00880CB9"/>
    <w:rsid w:val="00880DBF"/>
    <w:rsid w:val="00880EC7"/>
    <w:rsid w:val="00880FBE"/>
    <w:rsid w:val="00881128"/>
    <w:rsid w:val="00881188"/>
    <w:rsid w:val="00881338"/>
    <w:rsid w:val="008813DD"/>
    <w:rsid w:val="0088145A"/>
    <w:rsid w:val="0088147A"/>
    <w:rsid w:val="0088159C"/>
    <w:rsid w:val="008815B5"/>
    <w:rsid w:val="008815B6"/>
    <w:rsid w:val="00881746"/>
    <w:rsid w:val="0088178C"/>
    <w:rsid w:val="00881AA1"/>
    <w:rsid w:val="00881B36"/>
    <w:rsid w:val="00881D3D"/>
    <w:rsid w:val="00881D41"/>
    <w:rsid w:val="00881E2B"/>
    <w:rsid w:val="00881E79"/>
    <w:rsid w:val="00881E8A"/>
    <w:rsid w:val="00881FB4"/>
    <w:rsid w:val="00882132"/>
    <w:rsid w:val="008821D5"/>
    <w:rsid w:val="0088225C"/>
    <w:rsid w:val="008824F5"/>
    <w:rsid w:val="008825C7"/>
    <w:rsid w:val="00882666"/>
    <w:rsid w:val="00882750"/>
    <w:rsid w:val="0088283E"/>
    <w:rsid w:val="00882944"/>
    <w:rsid w:val="0088299F"/>
    <w:rsid w:val="00882B1E"/>
    <w:rsid w:val="00882C20"/>
    <w:rsid w:val="00882C74"/>
    <w:rsid w:val="00882CB5"/>
    <w:rsid w:val="00882CC4"/>
    <w:rsid w:val="00882CDE"/>
    <w:rsid w:val="00882D3D"/>
    <w:rsid w:val="00882D81"/>
    <w:rsid w:val="00882E69"/>
    <w:rsid w:val="00882F97"/>
    <w:rsid w:val="00882FE4"/>
    <w:rsid w:val="00883064"/>
    <w:rsid w:val="00883093"/>
    <w:rsid w:val="00883180"/>
    <w:rsid w:val="008832BE"/>
    <w:rsid w:val="00883380"/>
    <w:rsid w:val="00883449"/>
    <w:rsid w:val="00883522"/>
    <w:rsid w:val="00883573"/>
    <w:rsid w:val="008837F0"/>
    <w:rsid w:val="00883804"/>
    <w:rsid w:val="008839B7"/>
    <w:rsid w:val="00883A92"/>
    <w:rsid w:val="00883B9C"/>
    <w:rsid w:val="00883DC4"/>
    <w:rsid w:val="00883DF5"/>
    <w:rsid w:val="00883E2E"/>
    <w:rsid w:val="00883ED6"/>
    <w:rsid w:val="00883FED"/>
    <w:rsid w:val="00884032"/>
    <w:rsid w:val="00884112"/>
    <w:rsid w:val="00884223"/>
    <w:rsid w:val="0088429B"/>
    <w:rsid w:val="008842C5"/>
    <w:rsid w:val="008842CB"/>
    <w:rsid w:val="0088438A"/>
    <w:rsid w:val="008844AC"/>
    <w:rsid w:val="00884A72"/>
    <w:rsid w:val="00884A92"/>
    <w:rsid w:val="00884BA0"/>
    <w:rsid w:val="00884BC6"/>
    <w:rsid w:val="00884C46"/>
    <w:rsid w:val="00884C79"/>
    <w:rsid w:val="00884D35"/>
    <w:rsid w:val="00884D3C"/>
    <w:rsid w:val="00884DDF"/>
    <w:rsid w:val="00884EC0"/>
    <w:rsid w:val="00884F7D"/>
    <w:rsid w:val="0088513E"/>
    <w:rsid w:val="008851A0"/>
    <w:rsid w:val="008851AE"/>
    <w:rsid w:val="00885228"/>
    <w:rsid w:val="00885240"/>
    <w:rsid w:val="008852F0"/>
    <w:rsid w:val="00885309"/>
    <w:rsid w:val="00885315"/>
    <w:rsid w:val="008855A4"/>
    <w:rsid w:val="0088562C"/>
    <w:rsid w:val="00885667"/>
    <w:rsid w:val="00885708"/>
    <w:rsid w:val="008857EC"/>
    <w:rsid w:val="0088593C"/>
    <w:rsid w:val="00885B03"/>
    <w:rsid w:val="00885B85"/>
    <w:rsid w:val="00885C9D"/>
    <w:rsid w:val="00885F24"/>
    <w:rsid w:val="00885FFF"/>
    <w:rsid w:val="00886131"/>
    <w:rsid w:val="00886198"/>
    <w:rsid w:val="008861BF"/>
    <w:rsid w:val="00886316"/>
    <w:rsid w:val="008863E4"/>
    <w:rsid w:val="00886402"/>
    <w:rsid w:val="00886419"/>
    <w:rsid w:val="0088649F"/>
    <w:rsid w:val="008868A0"/>
    <w:rsid w:val="00886A8C"/>
    <w:rsid w:val="00886AEA"/>
    <w:rsid w:val="00886B2E"/>
    <w:rsid w:val="00886C17"/>
    <w:rsid w:val="00886C19"/>
    <w:rsid w:val="00886C8A"/>
    <w:rsid w:val="00886CD8"/>
    <w:rsid w:val="00887094"/>
    <w:rsid w:val="008870D3"/>
    <w:rsid w:val="008871DF"/>
    <w:rsid w:val="00887425"/>
    <w:rsid w:val="00887720"/>
    <w:rsid w:val="00887835"/>
    <w:rsid w:val="00887886"/>
    <w:rsid w:val="008879A4"/>
    <w:rsid w:val="00887A29"/>
    <w:rsid w:val="00887A77"/>
    <w:rsid w:val="00887B38"/>
    <w:rsid w:val="00887B5F"/>
    <w:rsid w:val="00887EA2"/>
    <w:rsid w:val="00887EBC"/>
    <w:rsid w:val="00887FA3"/>
    <w:rsid w:val="0089011E"/>
    <w:rsid w:val="0089031B"/>
    <w:rsid w:val="00890327"/>
    <w:rsid w:val="00890513"/>
    <w:rsid w:val="008905DB"/>
    <w:rsid w:val="008906E2"/>
    <w:rsid w:val="00890743"/>
    <w:rsid w:val="00890855"/>
    <w:rsid w:val="00890868"/>
    <w:rsid w:val="008908C2"/>
    <w:rsid w:val="008908E6"/>
    <w:rsid w:val="008908EA"/>
    <w:rsid w:val="008908F3"/>
    <w:rsid w:val="0089093C"/>
    <w:rsid w:val="008909BC"/>
    <w:rsid w:val="00890A5D"/>
    <w:rsid w:val="00890AB0"/>
    <w:rsid w:val="00890ADA"/>
    <w:rsid w:val="00890B45"/>
    <w:rsid w:val="00890C4A"/>
    <w:rsid w:val="00890F1A"/>
    <w:rsid w:val="00891136"/>
    <w:rsid w:val="0089114F"/>
    <w:rsid w:val="008911E2"/>
    <w:rsid w:val="00891248"/>
    <w:rsid w:val="0089125C"/>
    <w:rsid w:val="008912FF"/>
    <w:rsid w:val="0089137B"/>
    <w:rsid w:val="00891409"/>
    <w:rsid w:val="00891414"/>
    <w:rsid w:val="00891471"/>
    <w:rsid w:val="008914E7"/>
    <w:rsid w:val="008915E8"/>
    <w:rsid w:val="008916AD"/>
    <w:rsid w:val="0089170A"/>
    <w:rsid w:val="008917CB"/>
    <w:rsid w:val="008917D3"/>
    <w:rsid w:val="008918E2"/>
    <w:rsid w:val="00891937"/>
    <w:rsid w:val="008919DF"/>
    <w:rsid w:val="00891C50"/>
    <w:rsid w:val="00891C54"/>
    <w:rsid w:val="00891CA2"/>
    <w:rsid w:val="00891CDA"/>
    <w:rsid w:val="00891D7E"/>
    <w:rsid w:val="00891D8B"/>
    <w:rsid w:val="00891E67"/>
    <w:rsid w:val="00892194"/>
    <w:rsid w:val="0089221E"/>
    <w:rsid w:val="00892268"/>
    <w:rsid w:val="0089248A"/>
    <w:rsid w:val="008925C6"/>
    <w:rsid w:val="00892654"/>
    <w:rsid w:val="008926AF"/>
    <w:rsid w:val="0089275E"/>
    <w:rsid w:val="008927A4"/>
    <w:rsid w:val="008927FD"/>
    <w:rsid w:val="00892C65"/>
    <w:rsid w:val="00892CDD"/>
    <w:rsid w:val="00892D53"/>
    <w:rsid w:val="00892ED5"/>
    <w:rsid w:val="00892F45"/>
    <w:rsid w:val="00892FDF"/>
    <w:rsid w:val="00893010"/>
    <w:rsid w:val="00893053"/>
    <w:rsid w:val="008930C4"/>
    <w:rsid w:val="00893208"/>
    <w:rsid w:val="00893269"/>
    <w:rsid w:val="0089336A"/>
    <w:rsid w:val="0089345B"/>
    <w:rsid w:val="0089350E"/>
    <w:rsid w:val="008936B7"/>
    <w:rsid w:val="0089373F"/>
    <w:rsid w:val="00893775"/>
    <w:rsid w:val="00893860"/>
    <w:rsid w:val="008938B9"/>
    <w:rsid w:val="008938DE"/>
    <w:rsid w:val="00893A47"/>
    <w:rsid w:val="00893D30"/>
    <w:rsid w:val="00893D60"/>
    <w:rsid w:val="00893F3D"/>
    <w:rsid w:val="00894166"/>
    <w:rsid w:val="0089443E"/>
    <w:rsid w:val="008944CD"/>
    <w:rsid w:val="008947E9"/>
    <w:rsid w:val="00894827"/>
    <w:rsid w:val="0089493D"/>
    <w:rsid w:val="00894977"/>
    <w:rsid w:val="00894CD5"/>
    <w:rsid w:val="00894D32"/>
    <w:rsid w:val="00894DF3"/>
    <w:rsid w:val="00894EFB"/>
    <w:rsid w:val="00894FF3"/>
    <w:rsid w:val="008952EA"/>
    <w:rsid w:val="008953B6"/>
    <w:rsid w:val="0089541E"/>
    <w:rsid w:val="0089566B"/>
    <w:rsid w:val="00895758"/>
    <w:rsid w:val="008957CF"/>
    <w:rsid w:val="00895A92"/>
    <w:rsid w:val="00895AFC"/>
    <w:rsid w:val="00895C07"/>
    <w:rsid w:val="00895C1B"/>
    <w:rsid w:val="008961E6"/>
    <w:rsid w:val="0089620E"/>
    <w:rsid w:val="00896232"/>
    <w:rsid w:val="00896359"/>
    <w:rsid w:val="0089637E"/>
    <w:rsid w:val="00896453"/>
    <w:rsid w:val="00896606"/>
    <w:rsid w:val="00896759"/>
    <w:rsid w:val="008968E6"/>
    <w:rsid w:val="00896976"/>
    <w:rsid w:val="00896A97"/>
    <w:rsid w:val="00896AE7"/>
    <w:rsid w:val="00896C39"/>
    <w:rsid w:val="00896E30"/>
    <w:rsid w:val="00896F4E"/>
    <w:rsid w:val="00896FF6"/>
    <w:rsid w:val="008970E5"/>
    <w:rsid w:val="0089713D"/>
    <w:rsid w:val="0089716A"/>
    <w:rsid w:val="008971C2"/>
    <w:rsid w:val="0089721F"/>
    <w:rsid w:val="008976EB"/>
    <w:rsid w:val="00897702"/>
    <w:rsid w:val="008977F5"/>
    <w:rsid w:val="00897804"/>
    <w:rsid w:val="00897A40"/>
    <w:rsid w:val="00897A48"/>
    <w:rsid w:val="00897A95"/>
    <w:rsid w:val="00897AC9"/>
    <w:rsid w:val="00897B40"/>
    <w:rsid w:val="00897CBA"/>
    <w:rsid w:val="00897CED"/>
    <w:rsid w:val="00897DD8"/>
    <w:rsid w:val="00897EA4"/>
    <w:rsid w:val="00897EA5"/>
    <w:rsid w:val="00897F46"/>
    <w:rsid w:val="00897FE4"/>
    <w:rsid w:val="00897FF8"/>
    <w:rsid w:val="008A00A8"/>
    <w:rsid w:val="008A01AF"/>
    <w:rsid w:val="008A023B"/>
    <w:rsid w:val="008A0332"/>
    <w:rsid w:val="008A039B"/>
    <w:rsid w:val="008A04B6"/>
    <w:rsid w:val="008A05BE"/>
    <w:rsid w:val="008A06F9"/>
    <w:rsid w:val="008A0867"/>
    <w:rsid w:val="008A0921"/>
    <w:rsid w:val="008A0AD4"/>
    <w:rsid w:val="008A0BB8"/>
    <w:rsid w:val="008A0CC9"/>
    <w:rsid w:val="008A0D5F"/>
    <w:rsid w:val="008A0D6E"/>
    <w:rsid w:val="008A0F3B"/>
    <w:rsid w:val="008A0FAB"/>
    <w:rsid w:val="008A1007"/>
    <w:rsid w:val="008A1017"/>
    <w:rsid w:val="008A106A"/>
    <w:rsid w:val="008A1393"/>
    <w:rsid w:val="008A13BB"/>
    <w:rsid w:val="008A15D5"/>
    <w:rsid w:val="008A16FC"/>
    <w:rsid w:val="008A1722"/>
    <w:rsid w:val="008A17E2"/>
    <w:rsid w:val="008A1882"/>
    <w:rsid w:val="008A18B4"/>
    <w:rsid w:val="008A1AAE"/>
    <w:rsid w:val="008A1AC0"/>
    <w:rsid w:val="008A1C7D"/>
    <w:rsid w:val="008A1D2F"/>
    <w:rsid w:val="008A1EFF"/>
    <w:rsid w:val="008A2063"/>
    <w:rsid w:val="008A20A8"/>
    <w:rsid w:val="008A21AA"/>
    <w:rsid w:val="008A224D"/>
    <w:rsid w:val="008A22ED"/>
    <w:rsid w:val="008A24DF"/>
    <w:rsid w:val="008A24FA"/>
    <w:rsid w:val="008A2681"/>
    <w:rsid w:val="008A26D6"/>
    <w:rsid w:val="008A2868"/>
    <w:rsid w:val="008A2892"/>
    <w:rsid w:val="008A28AB"/>
    <w:rsid w:val="008A2915"/>
    <w:rsid w:val="008A29CE"/>
    <w:rsid w:val="008A2CB5"/>
    <w:rsid w:val="008A2E20"/>
    <w:rsid w:val="008A2E9C"/>
    <w:rsid w:val="008A2EBB"/>
    <w:rsid w:val="008A2ED7"/>
    <w:rsid w:val="008A30A6"/>
    <w:rsid w:val="008A30FE"/>
    <w:rsid w:val="008A315C"/>
    <w:rsid w:val="008A3175"/>
    <w:rsid w:val="008A322E"/>
    <w:rsid w:val="008A32A4"/>
    <w:rsid w:val="008A3563"/>
    <w:rsid w:val="008A35B4"/>
    <w:rsid w:val="008A3659"/>
    <w:rsid w:val="008A37B1"/>
    <w:rsid w:val="008A37F0"/>
    <w:rsid w:val="008A38DB"/>
    <w:rsid w:val="008A394D"/>
    <w:rsid w:val="008A399B"/>
    <w:rsid w:val="008A3A3F"/>
    <w:rsid w:val="008A3A99"/>
    <w:rsid w:val="008A3B26"/>
    <w:rsid w:val="008A3BF7"/>
    <w:rsid w:val="008A3C25"/>
    <w:rsid w:val="008A3CB7"/>
    <w:rsid w:val="008A3F91"/>
    <w:rsid w:val="008A4021"/>
    <w:rsid w:val="008A40A0"/>
    <w:rsid w:val="008A40DC"/>
    <w:rsid w:val="008A4135"/>
    <w:rsid w:val="008A4182"/>
    <w:rsid w:val="008A43B9"/>
    <w:rsid w:val="008A43CB"/>
    <w:rsid w:val="008A449D"/>
    <w:rsid w:val="008A451B"/>
    <w:rsid w:val="008A466A"/>
    <w:rsid w:val="008A4A27"/>
    <w:rsid w:val="008A4AEE"/>
    <w:rsid w:val="008A4B00"/>
    <w:rsid w:val="008A4C20"/>
    <w:rsid w:val="008A4D3F"/>
    <w:rsid w:val="008A4E02"/>
    <w:rsid w:val="008A4EF5"/>
    <w:rsid w:val="008A507B"/>
    <w:rsid w:val="008A50D4"/>
    <w:rsid w:val="008A517E"/>
    <w:rsid w:val="008A51B0"/>
    <w:rsid w:val="008A53AF"/>
    <w:rsid w:val="008A5560"/>
    <w:rsid w:val="008A566D"/>
    <w:rsid w:val="008A5898"/>
    <w:rsid w:val="008A5942"/>
    <w:rsid w:val="008A5A3C"/>
    <w:rsid w:val="008A5B72"/>
    <w:rsid w:val="008A5CB3"/>
    <w:rsid w:val="008A5F2D"/>
    <w:rsid w:val="008A6098"/>
    <w:rsid w:val="008A614D"/>
    <w:rsid w:val="008A615E"/>
    <w:rsid w:val="008A6208"/>
    <w:rsid w:val="008A635B"/>
    <w:rsid w:val="008A640E"/>
    <w:rsid w:val="008A6471"/>
    <w:rsid w:val="008A652A"/>
    <w:rsid w:val="008A6599"/>
    <w:rsid w:val="008A65C7"/>
    <w:rsid w:val="008A6674"/>
    <w:rsid w:val="008A679C"/>
    <w:rsid w:val="008A67FC"/>
    <w:rsid w:val="008A69A1"/>
    <w:rsid w:val="008A69A7"/>
    <w:rsid w:val="008A6E78"/>
    <w:rsid w:val="008A6F62"/>
    <w:rsid w:val="008A6F97"/>
    <w:rsid w:val="008A7044"/>
    <w:rsid w:val="008A70DF"/>
    <w:rsid w:val="008A7165"/>
    <w:rsid w:val="008A733E"/>
    <w:rsid w:val="008A7376"/>
    <w:rsid w:val="008A75EA"/>
    <w:rsid w:val="008A7621"/>
    <w:rsid w:val="008A7763"/>
    <w:rsid w:val="008A78AC"/>
    <w:rsid w:val="008A79AE"/>
    <w:rsid w:val="008A7A6D"/>
    <w:rsid w:val="008A7C85"/>
    <w:rsid w:val="008A7CDF"/>
    <w:rsid w:val="008A7DAA"/>
    <w:rsid w:val="008A7F38"/>
    <w:rsid w:val="008B0248"/>
    <w:rsid w:val="008B05BE"/>
    <w:rsid w:val="008B0692"/>
    <w:rsid w:val="008B0788"/>
    <w:rsid w:val="008B08A2"/>
    <w:rsid w:val="008B0956"/>
    <w:rsid w:val="008B0993"/>
    <w:rsid w:val="008B0AA8"/>
    <w:rsid w:val="008B0C39"/>
    <w:rsid w:val="008B0C8F"/>
    <w:rsid w:val="008B0CDB"/>
    <w:rsid w:val="008B0DBA"/>
    <w:rsid w:val="008B0E8F"/>
    <w:rsid w:val="008B0E96"/>
    <w:rsid w:val="008B1038"/>
    <w:rsid w:val="008B10AF"/>
    <w:rsid w:val="008B12CE"/>
    <w:rsid w:val="008B12FB"/>
    <w:rsid w:val="008B133F"/>
    <w:rsid w:val="008B13FD"/>
    <w:rsid w:val="008B1418"/>
    <w:rsid w:val="008B165C"/>
    <w:rsid w:val="008B1671"/>
    <w:rsid w:val="008B1822"/>
    <w:rsid w:val="008B19A8"/>
    <w:rsid w:val="008B1ABE"/>
    <w:rsid w:val="008B1B72"/>
    <w:rsid w:val="008B1D1D"/>
    <w:rsid w:val="008B1E2D"/>
    <w:rsid w:val="008B1F98"/>
    <w:rsid w:val="008B2132"/>
    <w:rsid w:val="008B2154"/>
    <w:rsid w:val="008B2181"/>
    <w:rsid w:val="008B2275"/>
    <w:rsid w:val="008B258B"/>
    <w:rsid w:val="008B25A7"/>
    <w:rsid w:val="008B25B1"/>
    <w:rsid w:val="008B25BC"/>
    <w:rsid w:val="008B265F"/>
    <w:rsid w:val="008B27AD"/>
    <w:rsid w:val="008B298C"/>
    <w:rsid w:val="008B2C1B"/>
    <w:rsid w:val="008B2CC0"/>
    <w:rsid w:val="008B2CF8"/>
    <w:rsid w:val="008B2D97"/>
    <w:rsid w:val="008B2E33"/>
    <w:rsid w:val="008B3163"/>
    <w:rsid w:val="008B3269"/>
    <w:rsid w:val="008B340B"/>
    <w:rsid w:val="008B36B0"/>
    <w:rsid w:val="008B3947"/>
    <w:rsid w:val="008B39C1"/>
    <w:rsid w:val="008B3B06"/>
    <w:rsid w:val="008B3C4E"/>
    <w:rsid w:val="008B3CAF"/>
    <w:rsid w:val="008B3D46"/>
    <w:rsid w:val="008B3D6D"/>
    <w:rsid w:val="008B3DE1"/>
    <w:rsid w:val="008B3E30"/>
    <w:rsid w:val="008B3EB1"/>
    <w:rsid w:val="008B3F0B"/>
    <w:rsid w:val="008B3F2D"/>
    <w:rsid w:val="008B40F7"/>
    <w:rsid w:val="008B4170"/>
    <w:rsid w:val="008B44F4"/>
    <w:rsid w:val="008B46E5"/>
    <w:rsid w:val="008B46FE"/>
    <w:rsid w:val="008B4775"/>
    <w:rsid w:val="008B4D2D"/>
    <w:rsid w:val="008B4D36"/>
    <w:rsid w:val="008B4E6F"/>
    <w:rsid w:val="008B4FCB"/>
    <w:rsid w:val="008B50BF"/>
    <w:rsid w:val="008B50CB"/>
    <w:rsid w:val="008B5207"/>
    <w:rsid w:val="008B53BA"/>
    <w:rsid w:val="008B54A0"/>
    <w:rsid w:val="008B5776"/>
    <w:rsid w:val="008B5821"/>
    <w:rsid w:val="008B5959"/>
    <w:rsid w:val="008B5989"/>
    <w:rsid w:val="008B5A94"/>
    <w:rsid w:val="008B5AA1"/>
    <w:rsid w:val="008B5AD5"/>
    <w:rsid w:val="008B5AEB"/>
    <w:rsid w:val="008B5D11"/>
    <w:rsid w:val="008B6041"/>
    <w:rsid w:val="008B619A"/>
    <w:rsid w:val="008B62E5"/>
    <w:rsid w:val="008B637F"/>
    <w:rsid w:val="008B65F6"/>
    <w:rsid w:val="008B66A2"/>
    <w:rsid w:val="008B678E"/>
    <w:rsid w:val="008B69BF"/>
    <w:rsid w:val="008B6A36"/>
    <w:rsid w:val="008B6A4C"/>
    <w:rsid w:val="008B6B4B"/>
    <w:rsid w:val="008B6B80"/>
    <w:rsid w:val="008B6C14"/>
    <w:rsid w:val="008B6CBA"/>
    <w:rsid w:val="008B6D86"/>
    <w:rsid w:val="008B6E46"/>
    <w:rsid w:val="008B6E88"/>
    <w:rsid w:val="008B6FA7"/>
    <w:rsid w:val="008B6FBF"/>
    <w:rsid w:val="008B73AE"/>
    <w:rsid w:val="008B768E"/>
    <w:rsid w:val="008B77E5"/>
    <w:rsid w:val="008B77E8"/>
    <w:rsid w:val="008B795E"/>
    <w:rsid w:val="008B79CB"/>
    <w:rsid w:val="008B7A48"/>
    <w:rsid w:val="008B7D4D"/>
    <w:rsid w:val="008B7DD5"/>
    <w:rsid w:val="008B7E14"/>
    <w:rsid w:val="008B7E2E"/>
    <w:rsid w:val="008B7E50"/>
    <w:rsid w:val="008B7E6C"/>
    <w:rsid w:val="008B7EE5"/>
    <w:rsid w:val="008B7F48"/>
    <w:rsid w:val="008B7FF4"/>
    <w:rsid w:val="008C0114"/>
    <w:rsid w:val="008C0181"/>
    <w:rsid w:val="008C0290"/>
    <w:rsid w:val="008C03DC"/>
    <w:rsid w:val="008C04FE"/>
    <w:rsid w:val="008C05FC"/>
    <w:rsid w:val="008C068C"/>
    <w:rsid w:val="008C08A9"/>
    <w:rsid w:val="008C08E2"/>
    <w:rsid w:val="008C08F6"/>
    <w:rsid w:val="008C09BA"/>
    <w:rsid w:val="008C09C4"/>
    <w:rsid w:val="008C0A65"/>
    <w:rsid w:val="008C0AA7"/>
    <w:rsid w:val="008C0B50"/>
    <w:rsid w:val="008C0BBE"/>
    <w:rsid w:val="008C0C1F"/>
    <w:rsid w:val="008C0C3D"/>
    <w:rsid w:val="008C0C9D"/>
    <w:rsid w:val="008C0CA0"/>
    <w:rsid w:val="008C0CFE"/>
    <w:rsid w:val="008C0D09"/>
    <w:rsid w:val="008C0DBB"/>
    <w:rsid w:val="008C0F00"/>
    <w:rsid w:val="008C0FB7"/>
    <w:rsid w:val="008C1010"/>
    <w:rsid w:val="008C1013"/>
    <w:rsid w:val="008C105E"/>
    <w:rsid w:val="008C10B3"/>
    <w:rsid w:val="008C11A8"/>
    <w:rsid w:val="008C133B"/>
    <w:rsid w:val="008C14A2"/>
    <w:rsid w:val="008C14AB"/>
    <w:rsid w:val="008C15C6"/>
    <w:rsid w:val="008C161E"/>
    <w:rsid w:val="008C165F"/>
    <w:rsid w:val="008C16D4"/>
    <w:rsid w:val="008C1752"/>
    <w:rsid w:val="008C1922"/>
    <w:rsid w:val="008C1925"/>
    <w:rsid w:val="008C1A26"/>
    <w:rsid w:val="008C1A38"/>
    <w:rsid w:val="008C1B78"/>
    <w:rsid w:val="008C1B93"/>
    <w:rsid w:val="008C1C21"/>
    <w:rsid w:val="008C1C7B"/>
    <w:rsid w:val="008C1DA2"/>
    <w:rsid w:val="008C1E73"/>
    <w:rsid w:val="008C1EC3"/>
    <w:rsid w:val="008C1F9E"/>
    <w:rsid w:val="008C20A7"/>
    <w:rsid w:val="008C2161"/>
    <w:rsid w:val="008C2320"/>
    <w:rsid w:val="008C23E5"/>
    <w:rsid w:val="008C2568"/>
    <w:rsid w:val="008C25FB"/>
    <w:rsid w:val="008C2632"/>
    <w:rsid w:val="008C26A9"/>
    <w:rsid w:val="008C272C"/>
    <w:rsid w:val="008C2786"/>
    <w:rsid w:val="008C29D1"/>
    <w:rsid w:val="008C2A30"/>
    <w:rsid w:val="008C2A3F"/>
    <w:rsid w:val="008C2BF8"/>
    <w:rsid w:val="008C2D20"/>
    <w:rsid w:val="008C2E28"/>
    <w:rsid w:val="008C2F5F"/>
    <w:rsid w:val="008C3057"/>
    <w:rsid w:val="008C30B4"/>
    <w:rsid w:val="008C32B1"/>
    <w:rsid w:val="008C32F2"/>
    <w:rsid w:val="008C331E"/>
    <w:rsid w:val="008C3418"/>
    <w:rsid w:val="008C35B0"/>
    <w:rsid w:val="008C36E6"/>
    <w:rsid w:val="008C382A"/>
    <w:rsid w:val="008C38F2"/>
    <w:rsid w:val="008C3B07"/>
    <w:rsid w:val="008C3B45"/>
    <w:rsid w:val="008C3BCE"/>
    <w:rsid w:val="008C3CEA"/>
    <w:rsid w:val="008C3F80"/>
    <w:rsid w:val="008C3FDA"/>
    <w:rsid w:val="008C402E"/>
    <w:rsid w:val="008C407D"/>
    <w:rsid w:val="008C417F"/>
    <w:rsid w:val="008C42B9"/>
    <w:rsid w:val="008C433E"/>
    <w:rsid w:val="008C4354"/>
    <w:rsid w:val="008C44D3"/>
    <w:rsid w:val="008C468B"/>
    <w:rsid w:val="008C4758"/>
    <w:rsid w:val="008C484B"/>
    <w:rsid w:val="008C4A09"/>
    <w:rsid w:val="008C4A30"/>
    <w:rsid w:val="008C4BD3"/>
    <w:rsid w:val="008C4C4C"/>
    <w:rsid w:val="008C4D0E"/>
    <w:rsid w:val="008C4DAD"/>
    <w:rsid w:val="008C4E60"/>
    <w:rsid w:val="008C4E84"/>
    <w:rsid w:val="008C50B7"/>
    <w:rsid w:val="008C51E2"/>
    <w:rsid w:val="008C5227"/>
    <w:rsid w:val="008C527F"/>
    <w:rsid w:val="008C52A1"/>
    <w:rsid w:val="008C5393"/>
    <w:rsid w:val="008C53AB"/>
    <w:rsid w:val="008C56E8"/>
    <w:rsid w:val="008C5826"/>
    <w:rsid w:val="008C58FE"/>
    <w:rsid w:val="008C5920"/>
    <w:rsid w:val="008C59C8"/>
    <w:rsid w:val="008C5B42"/>
    <w:rsid w:val="008C5B69"/>
    <w:rsid w:val="008C5C36"/>
    <w:rsid w:val="008C5E80"/>
    <w:rsid w:val="008C5E89"/>
    <w:rsid w:val="008C5F2A"/>
    <w:rsid w:val="008C5F39"/>
    <w:rsid w:val="008C6123"/>
    <w:rsid w:val="008C6170"/>
    <w:rsid w:val="008C637A"/>
    <w:rsid w:val="008C6438"/>
    <w:rsid w:val="008C64A7"/>
    <w:rsid w:val="008C679E"/>
    <w:rsid w:val="008C67F4"/>
    <w:rsid w:val="008C683A"/>
    <w:rsid w:val="008C6944"/>
    <w:rsid w:val="008C6B1E"/>
    <w:rsid w:val="008C6BEC"/>
    <w:rsid w:val="008C6C8A"/>
    <w:rsid w:val="008C6D2D"/>
    <w:rsid w:val="008C6E27"/>
    <w:rsid w:val="008C6E5C"/>
    <w:rsid w:val="008C6F7A"/>
    <w:rsid w:val="008C716C"/>
    <w:rsid w:val="008C71A5"/>
    <w:rsid w:val="008C71B6"/>
    <w:rsid w:val="008C7215"/>
    <w:rsid w:val="008C7320"/>
    <w:rsid w:val="008C7347"/>
    <w:rsid w:val="008C760D"/>
    <w:rsid w:val="008C7660"/>
    <w:rsid w:val="008C77C3"/>
    <w:rsid w:val="008C77C7"/>
    <w:rsid w:val="008C7884"/>
    <w:rsid w:val="008C7A12"/>
    <w:rsid w:val="008C7A31"/>
    <w:rsid w:val="008C7A5D"/>
    <w:rsid w:val="008C7A73"/>
    <w:rsid w:val="008C7B43"/>
    <w:rsid w:val="008C7BE6"/>
    <w:rsid w:val="008C7DEE"/>
    <w:rsid w:val="008C7F71"/>
    <w:rsid w:val="008C7FCC"/>
    <w:rsid w:val="008D0108"/>
    <w:rsid w:val="008D038C"/>
    <w:rsid w:val="008D0518"/>
    <w:rsid w:val="008D05AC"/>
    <w:rsid w:val="008D0785"/>
    <w:rsid w:val="008D079C"/>
    <w:rsid w:val="008D0835"/>
    <w:rsid w:val="008D0891"/>
    <w:rsid w:val="008D096E"/>
    <w:rsid w:val="008D09BC"/>
    <w:rsid w:val="008D0BD7"/>
    <w:rsid w:val="008D0BF2"/>
    <w:rsid w:val="008D0D93"/>
    <w:rsid w:val="008D0D97"/>
    <w:rsid w:val="008D0DE7"/>
    <w:rsid w:val="008D0DEB"/>
    <w:rsid w:val="008D0F56"/>
    <w:rsid w:val="008D1128"/>
    <w:rsid w:val="008D127D"/>
    <w:rsid w:val="008D1293"/>
    <w:rsid w:val="008D13A9"/>
    <w:rsid w:val="008D147A"/>
    <w:rsid w:val="008D157E"/>
    <w:rsid w:val="008D158A"/>
    <w:rsid w:val="008D15AD"/>
    <w:rsid w:val="008D160C"/>
    <w:rsid w:val="008D1681"/>
    <w:rsid w:val="008D16CB"/>
    <w:rsid w:val="008D1A79"/>
    <w:rsid w:val="008D1BF6"/>
    <w:rsid w:val="008D1C2B"/>
    <w:rsid w:val="008D1E18"/>
    <w:rsid w:val="008D1EF8"/>
    <w:rsid w:val="008D1FAA"/>
    <w:rsid w:val="008D1FE8"/>
    <w:rsid w:val="008D20D9"/>
    <w:rsid w:val="008D20E8"/>
    <w:rsid w:val="008D2154"/>
    <w:rsid w:val="008D2209"/>
    <w:rsid w:val="008D23A6"/>
    <w:rsid w:val="008D2518"/>
    <w:rsid w:val="008D2765"/>
    <w:rsid w:val="008D27A7"/>
    <w:rsid w:val="008D2865"/>
    <w:rsid w:val="008D290F"/>
    <w:rsid w:val="008D2934"/>
    <w:rsid w:val="008D2B2D"/>
    <w:rsid w:val="008D2B41"/>
    <w:rsid w:val="008D2C04"/>
    <w:rsid w:val="008D2D44"/>
    <w:rsid w:val="008D2DAA"/>
    <w:rsid w:val="008D2DBF"/>
    <w:rsid w:val="008D2ED7"/>
    <w:rsid w:val="008D3062"/>
    <w:rsid w:val="008D308D"/>
    <w:rsid w:val="008D3230"/>
    <w:rsid w:val="008D323F"/>
    <w:rsid w:val="008D339F"/>
    <w:rsid w:val="008D33A1"/>
    <w:rsid w:val="008D3609"/>
    <w:rsid w:val="008D3723"/>
    <w:rsid w:val="008D3747"/>
    <w:rsid w:val="008D375B"/>
    <w:rsid w:val="008D37AA"/>
    <w:rsid w:val="008D3871"/>
    <w:rsid w:val="008D3AB2"/>
    <w:rsid w:val="008D3B4F"/>
    <w:rsid w:val="008D3BAF"/>
    <w:rsid w:val="008D3D26"/>
    <w:rsid w:val="008D3D45"/>
    <w:rsid w:val="008D3DB9"/>
    <w:rsid w:val="008D3DD1"/>
    <w:rsid w:val="008D3EAC"/>
    <w:rsid w:val="008D3FF5"/>
    <w:rsid w:val="008D40AE"/>
    <w:rsid w:val="008D4111"/>
    <w:rsid w:val="008D4112"/>
    <w:rsid w:val="008D41DC"/>
    <w:rsid w:val="008D41F4"/>
    <w:rsid w:val="008D43D4"/>
    <w:rsid w:val="008D43E1"/>
    <w:rsid w:val="008D4428"/>
    <w:rsid w:val="008D4547"/>
    <w:rsid w:val="008D4590"/>
    <w:rsid w:val="008D46EB"/>
    <w:rsid w:val="008D4732"/>
    <w:rsid w:val="008D4795"/>
    <w:rsid w:val="008D484F"/>
    <w:rsid w:val="008D4BBD"/>
    <w:rsid w:val="008D4C62"/>
    <w:rsid w:val="008D4C69"/>
    <w:rsid w:val="008D4D2C"/>
    <w:rsid w:val="008D4E5D"/>
    <w:rsid w:val="008D4EDE"/>
    <w:rsid w:val="008D5194"/>
    <w:rsid w:val="008D527B"/>
    <w:rsid w:val="008D5368"/>
    <w:rsid w:val="008D53A8"/>
    <w:rsid w:val="008D549D"/>
    <w:rsid w:val="008D5572"/>
    <w:rsid w:val="008D5634"/>
    <w:rsid w:val="008D5646"/>
    <w:rsid w:val="008D5695"/>
    <w:rsid w:val="008D58A9"/>
    <w:rsid w:val="008D594A"/>
    <w:rsid w:val="008D59B9"/>
    <w:rsid w:val="008D59DB"/>
    <w:rsid w:val="008D5B01"/>
    <w:rsid w:val="008D5B86"/>
    <w:rsid w:val="008D5C97"/>
    <w:rsid w:val="008D5D01"/>
    <w:rsid w:val="008D5D42"/>
    <w:rsid w:val="008D5DE6"/>
    <w:rsid w:val="008D5DFC"/>
    <w:rsid w:val="008D5E34"/>
    <w:rsid w:val="008D5E54"/>
    <w:rsid w:val="008D5EA7"/>
    <w:rsid w:val="008D6117"/>
    <w:rsid w:val="008D628F"/>
    <w:rsid w:val="008D633E"/>
    <w:rsid w:val="008D6374"/>
    <w:rsid w:val="008D63BF"/>
    <w:rsid w:val="008D6457"/>
    <w:rsid w:val="008D662F"/>
    <w:rsid w:val="008D677B"/>
    <w:rsid w:val="008D68A3"/>
    <w:rsid w:val="008D690F"/>
    <w:rsid w:val="008D6939"/>
    <w:rsid w:val="008D6AA3"/>
    <w:rsid w:val="008D6ABD"/>
    <w:rsid w:val="008D6B01"/>
    <w:rsid w:val="008D6B40"/>
    <w:rsid w:val="008D6C48"/>
    <w:rsid w:val="008D6C74"/>
    <w:rsid w:val="008D7045"/>
    <w:rsid w:val="008D723E"/>
    <w:rsid w:val="008D7261"/>
    <w:rsid w:val="008D72E4"/>
    <w:rsid w:val="008D733C"/>
    <w:rsid w:val="008D74AF"/>
    <w:rsid w:val="008D7629"/>
    <w:rsid w:val="008D765C"/>
    <w:rsid w:val="008D772D"/>
    <w:rsid w:val="008D785B"/>
    <w:rsid w:val="008D787D"/>
    <w:rsid w:val="008D788E"/>
    <w:rsid w:val="008D7945"/>
    <w:rsid w:val="008D7AD0"/>
    <w:rsid w:val="008D7B70"/>
    <w:rsid w:val="008D7CB2"/>
    <w:rsid w:val="008D7DA0"/>
    <w:rsid w:val="008D7E98"/>
    <w:rsid w:val="008D7F4C"/>
    <w:rsid w:val="008D7FEB"/>
    <w:rsid w:val="008E004C"/>
    <w:rsid w:val="008E00AB"/>
    <w:rsid w:val="008E00B9"/>
    <w:rsid w:val="008E00FB"/>
    <w:rsid w:val="008E00FE"/>
    <w:rsid w:val="008E0169"/>
    <w:rsid w:val="008E022B"/>
    <w:rsid w:val="008E05A6"/>
    <w:rsid w:val="008E0610"/>
    <w:rsid w:val="008E077D"/>
    <w:rsid w:val="008E0841"/>
    <w:rsid w:val="008E08D8"/>
    <w:rsid w:val="008E095B"/>
    <w:rsid w:val="008E09CE"/>
    <w:rsid w:val="008E09E5"/>
    <w:rsid w:val="008E0A18"/>
    <w:rsid w:val="008E0A84"/>
    <w:rsid w:val="008E0CCF"/>
    <w:rsid w:val="008E0F21"/>
    <w:rsid w:val="008E0FBC"/>
    <w:rsid w:val="008E122C"/>
    <w:rsid w:val="008E123F"/>
    <w:rsid w:val="008E1240"/>
    <w:rsid w:val="008E12B5"/>
    <w:rsid w:val="008E12BD"/>
    <w:rsid w:val="008E13AC"/>
    <w:rsid w:val="008E159B"/>
    <w:rsid w:val="008E15EF"/>
    <w:rsid w:val="008E1670"/>
    <w:rsid w:val="008E1686"/>
    <w:rsid w:val="008E169A"/>
    <w:rsid w:val="008E1761"/>
    <w:rsid w:val="008E17A5"/>
    <w:rsid w:val="008E17AC"/>
    <w:rsid w:val="008E19E8"/>
    <w:rsid w:val="008E1AA5"/>
    <w:rsid w:val="008E1BC8"/>
    <w:rsid w:val="008E1D4F"/>
    <w:rsid w:val="008E1DC6"/>
    <w:rsid w:val="008E1E9C"/>
    <w:rsid w:val="008E2287"/>
    <w:rsid w:val="008E22AC"/>
    <w:rsid w:val="008E23B5"/>
    <w:rsid w:val="008E24BF"/>
    <w:rsid w:val="008E24D2"/>
    <w:rsid w:val="008E24E8"/>
    <w:rsid w:val="008E268B"/>
    <w:rsid w:val="008E2695"/>
    <w:rsid w:val="008E271F"/>
    <w:rsid w:val="008E27F4"/>
    <w:rsid w:val="008E28CE"/>
    <w:rsid w:val="008E2989"/>
    <w:rsid w:val="008E29B1"/>
    <w:rsid w:val="008E29CF"/>
    <w:rsid w:val="008E29E8"/>
    <w:rsid w:val="008E2A12"/>
    <w:rsid w:val="008E2A71"/>
    <w:rsid w:val="008E2B86"/>
    <w:rsid w:val="008E2B8B"/>
    <w:rsid w:val="008E2BCB"/>
    <w:rsid w:val="008E2C19"/>
    <w:rsid w:val="008E2C2A"/>
    <w:rsid w:val="008E2D18"/>
    <w:rsid w:val="008E2E1F"/>
    <w:rsid w:val="008E2EB1"/>
    <w:rsid w:val="008E3045"/>
    <w:rsid w:val="008E323C"/>
    <w:rsid w:val="008E327D"/>
    <w:rsid w:val="008E3310"/>
    <w:rsid w:val="008E33C3"/>
    <w:rsid w:val="008E399C"/>
    <w:rsid w:val="008E3AEC"/>
    <w:rsid w:val="008E3D3C"/>
    <w:rsid w:val="008E3DC6"/>
    <w:rsid w:val="008E3E40"/>
    <w:rsid w:val="008E3EB0"/>
    <w:rsid w:val="008E4007"/>
    <w:rsid w:val="008E413A"/>
    <w:rsid w:val="008E43A3"/>
    <w:rsid w:val="008E4451"/>
    <w:rsid w:val="008E4528"/>
    <w:rsid w:val="008E45D5"/>
    <w:rsid w:val="008E462C"/>
    <w:rsid w:val="008E4708"/>
    <w:rsid w:val="008E4730"/>
    <w:rsid w:val="008E473B"/>
    <w:rsid w:val="008E4750"/>
    <w:rsid w:val="008E47EB"/>
    <w:rsid w:val="008E48A0"/>
    <w:rsid w:val="008E4A7D"/>
    <w:rsid w:val="008E4BD3"/>
    <w:rsid w:val="008E4C81"/>
    <w:rsid w:val="008E4D0A"/>
    <w:rsid w:val="008E5006"/>
    <w:rsid w:val="008E5120"/>
    <w:rsid w:val="008E524B"/>
    <w:rsid w:val="008E546B"/>
    <w:rsid w:val="008E5656"/>
    <w:rsid w:val="008E5742"/>
    <w:rsid w:val="008E5A39"/>
    <w:rsid w:val="008E5C84"/>
    <w:rsid w:val="008E5DDC"/>
    <w:rsid w:val="008E5E7A"/>
    <w:rsid w:val="008E5F17"/>
    <w:rsid w:val="008E5F1E"/>
    <w:rsid w:val="008E5F66"/>
    <w:rsid w:val="008E5FA9"/>
    <w:rsid w:val="008E6181"/>
    <w:rsid w:val="008E6292"/>
    <w:rsid w:val="008E62F6"/>
    <w:rsid w:val="008E64B2"/>
    <w:rsid w:val="008E6576"/>
    <w:rsid w:val="008E666D"/>
    <w:rsid w:val="008E66F0"/>
    <w:rsid w:val="008E682B"/>
    <w:rsid w:val="008E6B6B"/>
    <w:rsid w:val="008E6BD6"/>
    <w:rsid w:val="008E6CE5"/>
    <w:rsid w:val="008E6D61"/>
    <w:rsid w:val="008E6D8F"/>
    <w:rsid w:val="008E6EDC"/>
    <w:rsid w:val="008E6F3B"/>
    <w:rsid w:val="008E6FD1"/>
    <w:rsid w:val="008E705F"/>
    <w:rsid w:val="008E7079"/>
    <w:rsid w:val="008E72F7"/>
    <w:rsid w:val="008E737E"/>
    <w:rsid w:val="008E7548"/>
    <w:rsid w:val="008E76BD"/>
    <w:rsid w:val="008E7736"/>
    <w:rsid w:val="008E7988"/>
    <w:rsid w:val="008E7A06"/>
    <w:rsid w:val="008E7AB6"/>
    <w:rsid w:val="008E7CD0"/>
    <w:rsid w:val="008E7D50"/>
    <w:rsid w:val="008E7FD2"/>
    <w:rsid w:val="008F0015"/>
    <w:rsid w:val="008F009F"/>
    <w:rsid w:val="008F022B"/>
    <w:rsid w:val="008F03FC"/>
    <w:rsid w:val="008F0403"/>
    <w:rsid w:val="008F053A"/>
    <w:rsid w:val="008F0738"/>
    <w:rsid w:val="008F076B"/>
    <w:rsid w:val="008F07B8"/>
    <w:rsid w:val="008F080A"/>
    <w:rsid w:val="008F0920"/>
    <w:rsid w:val="008F0A50"/>
    <w:rsid w:val="008F0AA8"/>
    <w:rsid w:val="008F0CB3"/>
    <w:rsid w:val="008F0DE5"/>
    <w:rsid w:val="008F0E76"/>
    <w:rsid w:val="008F0EB6"/>
    <w:rsid w:val="008F0EF5"/>
    <w:rsid w:val="008F0EFA"/>
    <w:rsid w:val="008F0FDB"/>
    <w:rsid w:val="008F1081"/>
    <w:rsid w:val="008F122C"/>
    <w:rsid w:val="008F122F"/>
    <w:rsid w:val="008F15FB"/>
    <w:rsid w:val="008F1672"/>
    <w:rsid w:val="008F171F"/>
    <w:rsid w:val="008F1751"/>
    <w:rsid w:val="008F17F0"/>
    <w:rsid w:val="008F1A99"/>
    <w:rsid w:val="008F1BB2"/>
    <w:rsid w:val="008F1C66"/>
    <w:rsid w:val="008F1D4B"/>
    <w:rsid w:val="008F2069"/>
    <w:rsid w:val="008F20A2"/>
    <w:rsid w:val="008F20F5"/>
    <w:rsid w:val="008F21BE"/>
    <w:rsid w:val="008F23EB"/>
    <w:rsid w:val="008F24A5"/>
    <w:rsid w:val="008F24D0"/>
    <w:rsid w:val="008F24E6"/>
    <w:rsid w:val="008F25EF"/>
    <w:rsid w:val="008F27E4"/>
    <w:rsid w:val="008F27F0"/>
    <w:rsid w:val="008F283A"/>
    <w:rsid w:val="008F2968"/>
    <w:rsid w:val="008F2A4E"/>
    <w:rsid w:val="008F2B0D"/>
    <w:rsid w:val="008F2B6A"/>
    <w:rsid w:val="008F2CE8"/>
    <w:rsid w:val="008F2DDD"/>
    <w:rsid w:val="008F31E2"/>
    <w:rsid w:val="008F3237"/>
    <w:rsid w:val="008F33A6"/>
    <w:rsid w:val="008F33BB"/>
    <w:rsid w:val="008F3417"/>
    <w:rsid w:val="008F36FD"/>
    <w:rsid w:val="008F3705"/>
    <w:rsid w:val="008F3892"/>
    <w:rsid w:val="008F3A0C"/>
    <w:rsid w:val="008F3A8D"/>
    <w:rsid w:val="008F3B3D"/>
    <w:rsid w:val="008F3CFA"/>
    <w:rsid w:val="008F40AC"/>
    <w:rsid w:val="008F40BB"/>
    <w:rsid w:val="008F40F3"/>
    <w:rsid w:val="008F40F6"/>
    <w:rsid w:val="008F413E"/>
    <w:rsid w:val="008F41E3"/>
    <w:rsid w:val="008F428D"/>
    <w:rsid w:val="008F438F"/>
    <w:rsid w:val="008F439F"/>
    <w:rsid w:val="008F4532"/>
    <w:rsid w:val="008F4548"/>
    <w:rsid w:val="008F4574"/>
    <w:rsid w:val="008F45A6"/>
    <w:rsid w:val="008F4B5B"/>
    <w:rsid w:val="008F4BC5"/>
    <w:rsid w:val="008F4DC4"/>
    <w:rsid w:val="008F4EE1"/>
    <w:rsid w:val="008F4F78"/>
    <w:rsid w:val="008F5048"/>
    <w:rsid w:val="008F5077"/>
    <w:rsid w:val="008F522C"/>
    <w:rsid w:val="008F522F"/>
    <w:rsid w:val="008F523F"/>
    <w:rsid w:val="008F52B4"/>
    <w:rsid w:val="008F52FC"/>
    <w:rsid w:val="008F5382"/>
    <w:rsid w:val="008F53A5"/>
    <w:rsid w:val="008F53B2"/>
    <w:rsid w:val="008F53F4"/>
    <w:rsid w:val="008F57A3"/>
    <w:rsid w:val="008F599A"/>
    <w:rsid w:val="008F59C8"/>
    <w:rsid w:val="008F5A39"/>
    <w:rsid w:val="008F5B43"/>
    <w:rsid w:val="008F5CF2"/>
    <w:rsid w:val="008F5D8A"/>
    <w:rsid w:val="008F5F09"/>
    <w:rsid w:val="008F5F30"/>
    <w:rsid w:val="008F6044"/>
    <w:rsid w:val="008F6074"/>
    <w:rsid w:val="008F61C1"/>
    <w:rsid w:val="008F624F"/>
    <w:rsid w:val="008F6513"/>
    <w:rsid w:val="008F660D"/>
    <w:rsid w:val="008F6635"/>
    <w:rsid w:val="008F67CE"/>
    <w:rsid w:val="008F6A8E"/>
    <w:rsid w:val="008F6C98"/>
    <w:rsid w:val="008F6CB3"/>
    <w:rsid w:val="008F6CF6"/>
    <w:rsid w:val="008F6D47"/>
    <w:rsid w:val="008F6E93"/>
    <w:rsid w:val="008F726D"/>
    <w:rsid w:val="008F726E"/>
    <w:rsid w:val="008F72C3"/>
    <w:rsid w:val="008F743F"/>
    <w:rsid w:val="008F7528"/>
    <w:rsid w:val="008F75AA"/>
    <w:rsid w:val="008F7714"/>
    <w:rsid w:val="008F7717"/>
    <w:rsid w:val="008F7763"/>
    <w:rsid w:val="008F77A7"/>
    <w:rsid w:val="008F78AC"/>
    <w:rsid w:val="008F7A3B"/>
    <w:rsid w:val="008F7ABA"/>
    <w:rsid w:val="008F7B0F"/>
    <w:rsid w:val="008F7D00"/>
    <w:rsid w:val="0090001F"/>
    <w:rsid w:val="009000BE"/>
    <w:rsid w:val="0090011A"/>
    <w:rsid w:val="009001A0"/>
    <w:rsid w:val="0090021E"/>
    <w:rsid w:val="0090037E"/>
    <w:rsid w:val="0090047F"/>
    <w:rsid w:val="00900559"/>
    <w:rsid w:val="00900978"/>
    <w:rsid w:val="00900A8B"/>
    <w:rsid w:val="00900C5D"/>
    <w:rsid w:val="00900D98"/>
    <w:rsid w:val="00900E44"/>
    <w:rsid w:val="00900F40"/>
    <w:rsid w:val="0090116A"/>
    <w:rsid w:val="00901173"/>
    <w:rsid w:val="009013A8"/>
    <w:rsid w:val="009015B6"/>
    <w:rsid w:val="009015CB"/>
    <w:rsid w:val="00901606"/>
    <w:rsid w:val="00901667"/>
    <w:rsid w:val="00901692"/>
    <w:rsid w:val="0090189B"/>
    <w:rsid w:val="00901B01"/>
    <w:rsid w:val="00901B24"/>
    <w:rsid w:val="00901B51"/>
    <w:rsid w:val="00901B84"/>
    <w:rsid w:val="00901B9D"/>
    <w:rsid w:val="00901CBF"/>
    <w:rsid w:val="00901DC1"/>
    <w:rsid w:val="00901DFF"/>
    <w:rsid w:val="009020A3"/>
    <w:rsid w:val="009021C5"/>
    <w:rsid w:val="00902224"/>
    <w:rsid w:val="0090222C"/>
    <w:rsid w:val="009022BC"/>
    <w:rsid w:val="009023A1"/>
    <w:rsid w:val="009023EE"/>
    <w:rsid w:val="00902461"/>
    <w:rsid w:val="0090261F"/>
    <w:rsid w:val="009026A4"/>
    <w:rsid w:val="0090276A"/>
    <w:rsid w:val="00902AE5"/>
    <w:rsid w:val="00902C45"/>
    <w:rsid w:val="00902CE7"/>
    <w:rsid w:val="00902CFC"/>
    <w:rsid w:val="00902DFE"/>
    <w:rsid w:val="00902EBF"/>
    <w:rsid w:val="00902F1E"/>
    <w:rsid w:val="0090303C"/>
    <w:rsid w:val="00903041"/>
    <w:rsid w:val="0090323D"/>
    <w:rsid w:val="009032A9"/>
    <w:rsid w:val="0090334B"/>
    <w:rsid w:val="00903394"/>
    <w:rsid w:val="009033F9"/>
    <w:rsid w:val="0090342D"/>
    <w:rsid w:val="00903477"/>
    <w:rsid w:val="009035FA"/>
    <w:rsid w:val="00903727"/>
    <w:rsid w:val="00903728"/>
    <w:rsid w:val="0090384E"/>
    <w:rsid w:val="00903954"/>
    <w:rsid w:val="009039E8"/>
    <w:rsid w:val="009039FC"/>
    <w:rsid w:val="00903A16"/>
    <w:rsid w:val="00903C3B"/>
    <w:rsid w:val="00903C65"/>
    <w:rsid w:val="00903CBF"/>
    <w:rsid w:val="00903CC8"/>
    <w:rsid w:val="00903DB0"/>
    <w:rsid w:val="00903DE0"/>
    <w:rsid w:val="00903EDD"/>
    <w:rsid w:val="00904075"/>
    <w:rsid w:val="009040D4"/>
    <w:rsid w:val="009040F5"/>
    <w:rsid w:val="009041B1"/>
    <w:rsid w:val="009042A1"/>
    <w:rsid w:val="00904416"/>
    <w:rsid w:val="00904528"/>
    <w:rsid w:val="009048CA"/>
    <w:rsid w:val="009049B7"/>
    <w:rsid w:val="00904B06"/>
    <w:rsid w:val="00904C16"/>
    <w:rsid w:val="00904C9E"/>
    <w:rsid w:val="00904D5B"/>
    <w:rsid w:val="00904F90"/>
    <w:rsid w:val="009052A5"/>
    <w:rsid w:val="00905322"/>
    <w:rsid w:val="009053F9"/>
    <w:rsid w:val="009054E0"/>
    <w:rsid w:val="009054F0"/>
    <w:rsid w:val="0090550C"/>
    <w:rsid w:val="00905697"/>
    <w:rsid w:val="0090573F"/>
    <w:rsid w:val="009057CA"/>
    <w:rsid w:val="00905854"/>
    <w:rsid w:val="0090591D"/>
    <w:rsid w:val="00905A35"/>
    <w:rsid w:val="00905AD8"/>
    <w:rsid w:val="00905ADA"/>
    <w:rsid w:val="00905CE0"/>
    <w:rsid w:val="00905D62"/>
    <w:rsid w:val="00905E72"/>
    <w:rsid w:val="00905F85"/>
    <w:rsid w:val="00905FC2"/>
    <w:rsid w:val="0090613A"/>
    <w:rsid w:val="00906149"/>
    <w:rsid w:val="00906246"/>
    <w:rsid w:val="0090636E"/>
    <w:rsid w:val="009063CA"/>
    <w:rsid w:val="009065DD"/>
    <w:rsid w:val="009065DF"/>
    <w:rsid w:val="00906660"/>
    <w:rsid w:val="00906687"/>
    <w:rsid w:val="009067A8"/>
    <w:rsid w:val="00906AA8"/>
    <w:rsid w:val="00906B0A"/>
    <w:rsid w:val="00906B9B"/>
    <w:rsid w:val="00906C7A"/>
    <w:rsid w:val="00906C86"/>
    <w:rsid w:val="00906E60"/>
    <w:rsid w:val="00906E61"/>
    <w:rsid w:val="00906F08"/>
    <w:rsid w:val="00906F76"/>
    <w:rsid w:val="00906F8C"/>
    <w:rsid w:val="00906FA7"/>
    <w:rsid w:val="0090725D"/>
    <w:rsid w:val="009073A5"/>
    <w:rsid w:val="00907646"/>
    <w:rsid w:val="0090766D"/>
    <w:rsid w:val="009076AE"/>
    <w:rsid w:val="00907804"/>
    <w:rsid w:val="00907825"/>
    <w:rsid w:val="00907890"/>
    <w:rsid w:val="009078EE"/>
    <w:rsid w:val="009078F3"/>
    <w:rsid w:val="00907981"/>
    <w:rsid w:val="00907996"/>
    <w:rsid w:val="00907A2B"/>
    <w:rsid w:val="00907A60"/>
    <w:rsid w:val="00907A6B"/>
    <w:rsid w:val="00907A7E"/>
    <w:rsid w:val="00907DBB"/>
    <w:rsid w:val="0091001D"/>
    <w:rsid w:val="00910215"/>
    <w:rsid w:val="0091021D"/>
    <w:rsid w:val="0091051B"/>
    <w:rsid w:val="0091066D"/>
    <w:rsid w:val="0091066F"/>
    <w:rsid w:val="009106C7"/>
    <w:rsid w:val="00910732"/>
    <w:rsid w:val="009108E6"/>
    <w:rsid w:val="00910971"/>
    <w:rsid w:val="00910987"/>
    <w:rsid w:val="00910A31"/>
    <w:rsid w:val="00910AEC"/>
    <w:rsid w:val="00910C24"/>
    <w:rsid w:val="00910E11"/>
    <w:rsid w:val="00910F3C"/>
    <w:rsid w:val="0091101A"/>
    <w:rsid w:val="0091105C"/>
    <w:rsid w:val="009111A4"/>
    <w:rsid w:val="009111C7"/>
    <w:rsid w:val="00911311"/>
    <w:rsid w:val="00911448"/>
    <w:rsid w:val="0091150A"/>
    <w:rsid w:val="00911674"/>
    <w:rsid w:val="00911682"/>
    <w:rsid w:val="0091174B"/>
    <w:rsid w:val="00911883"/>
    <w:rsid w:val="009118B1"/>
    <w:rsid w:val="00911AF2"/>
    <w:rsid w:val="00911BDF"/>
    <w:rsid w:val="00911C3F"/>
    <w:rsid w:val="00911E89"/>
    <w:rsid w:val="00911F7C"/>
    <w:rsid w:val="0091213D"/>
    <w:rsid w:val="009122AF"/>
    <w:rsid w:val="0091235D"/>
    <w:rsid w:val="00912429"/>
    <w:rsid w:val="009125F8"/>
    <w:rsid w:val="00912766"/>
    <w:rsid w:val="009127B7"/>
    <w:rsid w:val="009128A5"/>
    <w:rsid w:val="00912926"/>
    <w:rsid w:val="00912959"/>
    <w:rsid w:val="00912A1D"/>
    <w:rsid w:val="00912A77"/>
    <w:rsid w:val="00912B2E"/>
    <w:rsid w:val="00912D41"/>
    <w:rsid w:val="00912E82"/>
    <w:rsid w:val="00912F99"/>
    <w:rsid w:val="00912FE1"/>
    <w:rsid w:val="0091303B"/>
    <w:rsid w:val="00913067"/>
    <w:rsid w:val="009130AC"/>
    <w:rsid w:val="00913105"/>
    <w:rsid w:val="00913134"/>
    <w:rsid w:val="0091313D"/>
    <w:rsid w:val="009132A4"/>
    <w:rsid w:val="0091338B"/>
    <w:rsid w:val="0091345E"/>
    <w:rsid w:val="009134C1"/>
    <w:rsid w:val="009134C2"/>
    <w:rsid w:val="00913724"/>
    <w:rsid w:val="009137B4"/>
    <w:rsid w:val="00913975"/>
    <w:rsid w:val="009139FA"/>
    <w:rsid w:val="00913ADF"/>
    <w:rsid w:val="00913CEB"/>
    <w:rsid w:val="00913D9E"/>
    <w:rsid w:val="00913E5A"/>
    <w:rsid w:val="009140A5"/>
    <w:rsid w:val="009143C4"/>
    <w:rsid w:val="0091450F"/>
    <w:rsid w:val="00914517"/>
    <w:rsid w:val="00914541"/>
    <w:rsid w:val="00914709"/>
    <w:rsid w:val="0091484C"/>
    <w:rsid w:val="009148E0"/>
    <w:rsid w:val="00914905"/>
    <w:rsid w:val="00914B7A"/>
    <w:rsid w:val="00914C4F"/>
    <w:rsid w:val="00914E50"/>
    <w:rsid w:val="00914EAD"/>
    <w:rsid w:val="00914F32"/>
    <w:rsid w:val="00914FA7"/>
    <w:rsid w:val="00914FB1"/>
    <w:rsid w:val="00914FC5"/>
    <w:rsid w:val="00915035"/>
    <w:rsid w:val="009150B7"/>
    <w:rsid w:val="009150F6"/>
    <w:rsid w:val="0091515E"/>
    <w:rsid w:val="00915379"/>
    <w:rsid w:val="0091546F"/>
    <w:rsid w:val="0091576C"/>
    <w:rsid w:val="0091582E"/>
    <w:rsid w:val="00915BC5"/>
    <w:rsid w:val="00915C70"/>
    <w:rsid w:val="00915E23"/>
    <w:rsid w:val="00916182"/>
    <w:rsid w:val="0091646C"/>
    <w:rsid w:val="009164B2"/>
    <w:rsid w:val="009166CA"/>
    <w:rsid w:val="00916ABF"/>
    <w:rsid w:val="00916BFF"/>
    <w:rsid w:val="00916CBB"/>
    <w:rsid w:val="00916D55"/>
    <w:rsid w:val="00916E67"/>
    <w:rsid w:val="009171FB"/>
    <w:rsid w:val="00917366"/>
    <w:rsid w:val="00917449"/>
    <w:rsid w:val="00917673"/>
    <w:rsid w:val="0091778A"/>
    <w:rsid w:val="00917868"/>
    <w:rsid w:val="00917928"/>
    <w:rsid w:val="00917A3B"/>
    <w:rsid w:val="00917C66"/>
    <w:rsid w:val="00917C8A"/>
    <w:rsid w:val="00917D6B"/>
    <w:rsid w:val="00917E28"/>
    <w:rsid w:val="00917F0B"/>
    <w:rsid w:val="0092018D"/>
    <w:rsid w:val="009201EC"/>
    <w:rsid w:val="009201FC"/>
    <w:rsid w:val="009203F8"/>
    <w:rsid w:val="00920409"/>
    <w:rsid w:val="00920867"/>
    <w:rsid w:val="009208DD"/>
    <w:rsid w:val="00920D53"/>
    <w:rsid w:val="00920E61"/>
    <w:rsid w:val="00920F5F"/>
    <w:rsid w:val="00920F62"/>
    <w:rsid w:val="009211C7"/>
    <w:rsid w:val="0092127A"/>
    <w:rsid w:val="0092134A"/>
    <w:rsid w:val="00921400"/>
    <w:rsid w:val="0092149D"/>
    <w:rsid w:val="00921661"/>
    <w:rsid w:val="009216C7"/>
    <w:rsid w:val="009216FA"/>
    <w:rsid w:val="00921705"/>
    <w:rsid w:val="00921739"/>
    <w:rsid w:val="009218C3"/>
    <w:rsid w:val="0092192C"/>
    <w:rsid w:val="00921960"/>
    <w:rsid w:val="00921B1D"/>
    <w:rsid w:val="00921B56"/>
    <w:rsid w:val="00921CE2"/>
    <w:rsid w:val="00921D40"/>
    <w:rsid w:val="009220B3"/>
    <w:rsid w:val="009221C0"/>
    <w:rsid w:val="00922214"/>
    <w:rsid w:val="009222A0"/>
    <w:rsid w:val="009222A7"/>
    <w:rsid w:val="00922317"/>
    <w:rsid w:val="0092234A"/>
    <w:rsid w:val="00922440"/>
    <w:rsid w:val="0092251A"/>
    <w:rsid w:val="00922530"/>
    <w:rsid w:val="00922649"/>
    <w:rsid w:val="009226B8"/>
    <w:rsid w:val="00922891"/>
    <w:rsid w:val="009228B2"/>
    <w:rsid w:val="009228C3"/>
    <w:rsid w:val="009229A7"/>
    <w:rsid w:val="00922A2A"/>
    <w:rsid w:val="00922B0C"/>
    <w:rsid w:val="00922C0B"/>
    <w:rsid w:val="00922C78"/>
    <w:rsid w:val="00922DB1"/>
    <w:rsid w:val="00922E59"/>
    <w:rsid w:val="00923065"/>
    <w:rsid w:val="00923247"/>
    <w:rsid w:val="009232D0"/>
    <w:rsid w:val="009233E6"/>
    <w:rsid w:val="0092350A"/>
    <w:rsid w:val="009235E3"/>
    <w:rsid w:val="00923851"/>
    <w:rsid w:val="00923871"/>
    <w:rsid w:val="009238B5"/>
    <w:rsid w:val="009238CD"/>
    <w:rsid w:val="0092397A"/>
    <w:rsid w:val="009239BB"/>
    <w:rsid w:val="009239FC"/>
    <w:rsid w:val="00923A1C"/>
    <w:rsid w:val="00923A72"/>
    <w:rsid w:val="00923A7B"/>
    <w:rsid w:val="00923B07"/>
    <w:rsid w:val="00923CC1"/>
    <w:rsid w:val="00923D53"/>
    <w:rsid w:val="00923E31"/>
    <w:rsid w:val="00923F33"/>
    <w:rsid w:val="00924157"/>
    <w:rsid w:val="009243C1"/>
    <w:rsid w:val="009243FE"/>
    <w:rsid w:val="00924453"/>
    <w:rsid w:val="00924542"/>
    <w:rsid w:val="00924662"/>
    <w:rsid w:val="00924708"/>
    <w:rsid w:val="00924973"/>
    <w:rsid w:val="00924BA7"/>
    <w:rsid w:val="00924D1E"/>
    <w:rsid w:val="00924D6A"/>
    <w:rsid w:val="00924D9E"/>
    <w:rsid w:val="00924DC6"/>
    <w:rsid w:val="00924DFE"/>
    <w:rsid w:val="00924E64"/>
    <w:rsid w:val="00924F84"/>
    <w:rsid w:val="00924FBB"/>
    <w:rsid w:val="00924FEA"/>
    <w:rsid w:val="00925311"/>
    <w:rsid w:val="0092538F"/>
    <w:rsid w:val="009253DE"/>
    <w:rsid w:val="009254F5"/>
    <w:rsid w:val="009255FF"/>
    <w:rsid w:val="009256B3"/>
    <w:rsid w:val="0092582E"/>
    <w:rsid w:val="00925876"/>
    <w:rsid w:val="00925928"/>
    <w:rsid w:val="00925A92"/>
    <w:rsid w:val="00925AA5"/>
    <w:rsid w:val="00925B89"/>
    <w:rsid w:val="00925C4F"/>
    <w:rsid w:val="00925D2B"/>
    <w:rsid w:val="00925EB0"/>
    <w:rsid w:val="0092607B"/>
    <w:rsid w:val="009260BA"/>
    <w:rsid w:val="00926103"/>
    <w:rsid w:val="009261CF"/>
    <w:rsid w:val="009262C2"/>
    <w:rsid w:val="00926317"/>
    <w:rsid w:val="0092646B"/>
    <w:rsid w:val="009264DE"/>
    <w:rsid w:val="00926524"/>
    <w:rsid w:val="00926614"/>
    <w:rsid w:val="009266FE"/>
    <w:rsid w:val="0092679F"/>
    <w:rsid w:val="00926800"/>
    <w:rsid w:val="00926807"/>
    <w:rsid w:val="00926A36"/>
    <w:rsid w:val="00926A82"/>
    <w:rsid w:val="00926AC1"/>
    <w:rsid w:val="00926BBD"/>
    <w:rsid w:val="00926D57"/>
    <w:rsid w:val="00926D7A"/>
    <w:rsid w:val="00926EDE"/>
    <w:rsid w:val="00927000"/>
    <w:rsid w:val="00927142"/>
    <w:rsid w:val="009272F6"/>
    <w:rsid w:val="00927476"/>
    <w:rsid w:val="009274AD"/>
    <w:rsid w:val="0092775A"/>
    <w:rsid w:val="0092778C"/>
    <w:rsid w:val="009277A9"/>
    <w:rsid w:val="009277AF"/>
    <w:rsid w:val="0092785E"/>
    <w:rsid w:val="009278D3"/>
    <w:rsid w:val="0092790B"/>
    <w:rsid w:val="00927915"/>
    <w:rsid w:val="00927971"/>
    <w:rsid w:val="00927D31"/>
    <w:rsid w:val="00927DD4"/>
    <w:rsid w:val="00927E0A"/>
    <w:rsid w:val="00930101"/>
    <w:rsid w:val="0093011D"/>
    <w:rsid w:val="00930251"/>
    <w:rsid w:val="00930258"/>
    <w:rsid w:val="00930360"/>
    <w:rsid w:val="00930369"/>
    <w:rsid w:val="009303EC"/>
    <w:rsid w:val="009304D6"/>
    <w:rsid w:val="0093063D"/>
    <w:rsid w:val="00930650"/>
    <w:rsid w:val="0093068A"/>
    <w:rsid w:val="009307C6"/>
    <w:rsid w:val="00930A30"/>
    <w:rsid w:val="00930C63"/>
    <w:rsid w:val="00930DB1"/>
    <w:rsid w:val="00930E54"/>
    <w:rsid w:val="00930FC0"/>
    <w:rsid w:val="009310B3"/>
    <w:rsid w:val="00931104"/>
    <w:rsid w:val="009311C4"/>
    <w:rsid w:val="00931210"/>
    <w:rsid w:val="0093146E"/>
    <w:rsid w:val="009315D2"/>
    <w:rsid w:val="009317EA"/>
    <w:rsid w:val="00931A8D"/>
    <w:rsid w:val="00931AC0"/>
    <w:rsid w:val="00931AF4"/>
    <w:rsid w:val="00931BCF"/>
    <w:rsid w:val="00931BE2"/>
    <w:rsid w:val="00931BE4"/>
    <w:rsid w:val="00931C1C"/>
    <w:rsid w:val="00931C72"/>
    <w:rsid w:val="00931CAA"/>
    <w:rsid w:val="00931CD7"/>
    <w:rsid w:val="00931D21"/>
    <w:rsid w:val="00931DF5"/>
    <w:rsid w:val="00931E40"/>
    <w:rsid w:val="00931F5B"/>
    <w:rsid w:val="00932200"/>
    <w:rsid w:val="00932235"/>
    <w:rsid w:val="0093225D"/>
    <w:rsid w:val="00932275"/>
    <w:rsid w:val="00932289"/>
    <w:rsid w:val="0093234D"/>
    <w:rsid w:val="0093243B"/>
    <w:rsid w:val="009326D2"/>
    <w:rsid w:val="0093271F"/>
    <w:rsid w:val="00932919"/>
    <w:rsid w:val="00932AE6"/>
    <w:rsid w:val="00932B40"/>
    <w:rsid w:val="00932D5D"/>
    <w:rsid w:val="00932D83"/>
    <w:rsid w:val="00932F1F"/>
    <w:rsid w:val="00932F8A"/>
    <w:rsid w:val="009332E7"/>
    <w:rsid w:val="009333E9"/>
    <w:rsid w:val="009334C6"/>
    <w:rsid w:val="0093358F"/>
    <w:rsid w:val="009336E8"/>
    <w:rsid w:val="009336F2"/>
    <w:rsid w:val="00933746"/>
    <w:rsid w:val="00933A6B"/>
    <w:rsid w:val="00933B10"/>
    <w:rsid w:val="00933B67"/>
    <w:rsid w:val="00933C36"/>
    <w:rsid w:val="00933D8E"/>
    <w:rsid w:val="00933E27"/>
    <w:rsid w:val="00933E8D"/>
    <w:rsid w:val="00933F6B"/>
    <w:rsid w:val="00933FB0"/>
    <w:rsid w:val="00933FB4"/>
    <w:rsid w:val="0093459E"/>
    <w:rsid w:val="009346BA"/>
    <w:rsid w:val="009346F7"/>
    <w:rsid w:val="00934742"/>
    <w:rsid w:val="00934789"/>
    <w:rsid w:val="0093479F"/>
    <w:rsid w:val="009348E0"/>
    <w:rsid w:val="00934A46"/>
    <w:rsid w:val="00934A89"/>
    <w:rsid w:val="00934B9B"/>
    <w:rsid w:val="00934C2D"/>
    <w:rsid w:val="00934DF2"/>
    <w:rsid w:val="00934F7E"/>
    <w:rsid w:val="00935013"/>
    <w:rsid w:val="00935105"/>
    <w:rsid w:val="00935134"/>
    <w:rsid w:val="0093540D"/>
    <w:rsid w:val="00935441"/>
    <w:rsid w:val="009354FA"/>
    <w:rsid w:val="00935585"/>
    <w:rsid w:val="00935734"/>
    <w:rsid w:val="00935A4A"/>
    <w:rsid w:val="00935AE2"/>
    <w:rsid w:val="00935EF0"/>
    <w:rsid w:val="0093602A"/>
    <w:rsid w:val="00936150"/>
    <w:rsid w:val="00936222"/>
    <w:rsid w:val="0093640B"/>
    <w:rsid w:val="0093641E"/>
    <w:rsid w:val="009364D5"/>
    <w:rsid w:val="0093654A"/>
    <w:rsid w:val="009365A7"/>
    <w:rsid w:val="0093662A"/>
    <w:rsid w:val="0093663E"/>
    <w:rsid w:val="00936706"/>
    <w:rsid w:val="009367A7"/>
    <w:rsid w:val="0093681B"/>
    <w:rsid w:val="009368DF"/>
    <w:rsid w:val="00936998"/>
    <w:rsid w:val="00936A65"/>
    <w:rsid w:val="00936B7A"/>
    <w:rsid w:val="00936E7B"/>
    <w:rsid w:val="00936F05"/>
    <w:rsid w:val="00937080"/>
    <w:rsid w:val="009370E8"/>
    <w:rsid w:val="009370FD"/>
    <w:rsid w:val="00937173"/>
    <w:rsid w:val="00937246"/>
    <w:rsid w:val="0093746C"/>
    <w:rsid w:val="009374BA"/>
    <w:rsid w:val="009376A8"/>
    <w:rsid w:val="009376E9"/>
    <w:rsid w:val="00937711"/>
    <w:rsid w:val="0093776D"/>
    <w:rsid w:val="009378BA"/>
    <w:rsid w:val="00937A8E"/>
    <w:rsid w:val="00937AA6"/>
    <w:rsid w:val="00937C8F"/>
    <w:rsid w:val="00937D21"/>
    <w:rsid w:val="00937D55"/>
    <w:rsid w:val="00937DF7"/>
    <w:rsid w:val="00937E6F"/>
    <w:rsid w:val="00937F58"/>
    <w:rsid w:val="00937FCA"/>
    <w:rsid w:val="00940185"/>
    <w:rsid w:val="0094019D"/>
    <w:rsid w:val="00940201"/>
    <w:rsid w:val="00940270"/>
    <w:rsid w:val="0094037C"/>
    <w:rsid w:val="0094038A"/>
    <w:rsid w:val="00940438"/>
    <w:rsid w:val="009404B4"/>
    <w:rsid w:val="00940513"/>
    <w:rsid w:val="0094052C"/>
    <w:rsid w:val="00940577"/>
    <w:rsid w:val="009405C4"/>
    <w:rsid w:val="00940675"/>
    <w:rsid w:val="0094074B"/>
    <w:rsid w:val="0094077B"/>
    <w:rsid w:val="00940804"/>
    <w:rsid w:val="009409D5"/>
    <w:rsid w:val="00940A1F"/>
    <w:rsid w:val="00940CCA"/>
    <w:rsid w:val="00940CE1"/>
    <w:rsid w:val="00940D22"/>
    <w:rsid w:val="00940D93"/>
    <w:rsid w:val="00940DA2"/>
    <w:rsid w:val="00940DC8"/>
    <w:rsid w:val="00940E0A"/>
    <w:rsid w:val="00940E57"/>
    <w:rsid w:val="00940EFA"/>
    <w:rsid w:val="00940FBA"/>
    <w:rsid w:val="009411C0"/>
    <w:rsid w:val="009412E8"/>
    <w:rsid w:val="00941320"/>
    <w:rsid w:val="009413BC"/>
    <w:rsid w:val="0094158D"/>
    <w:rsid w:val="00941651"/>
    <w:rsid w:val="0094184E"/>
    <w:rsid w:val="009419C1"/>
    <w:rsid w:val="009419E6"/>
    <w:rsid w:val="00941A81"/>
    <w:rsid w:val="00941AB4"/>
    <w:rsid w:val="00941C38"/>
    <w:rsid w:val="00941CAD"/>
    <w:rsid w:val="00941CB7"/>
    <w:rsid w:val="00941DA2"/>
    <w:rsid w:val="00941E74"/>
    <w:rsid w:val="00941EE2"/>
    <w:rsid w:val="00941FC6"/>
    <w:rsid w:val="00942056"/>
    <w:rsid w:val="009421F7"/>
    <w:rsid w:val="00942209"/>
    <w:rsid w:val="00942267"/>
    <w:rsid w:val="009423A1"/>
    <w:rsid w:val="009424A5"/>
    <w:rsid w:val="00942698"/>
    <w:rsid w:val="009426A2"/>
    <w:rsid w:val="00942701"/>
    <w:rsid w:val="00942769"/>
    <w:rsid w:val="0094280C"/>
    <w:rsid w:val="00942A3C"/>
    <w:rsid w:val="00942A90"/>
    <w:rsid w:val="00942BE6"/>
    <w:rsid w:val="00942BF2"/>
    <w:rsid w:val="00942C11"/>
    <w:rsid w:val="00942C32"/>
    <w:rsid w:val="00942D07"/>
    <w:rsid w:val="00942D48"/>
    <w:rsid w:val="00942E0C"/>
    <w:rsid w:val="00943061"/>
    <w:rsid w:val="00943229"/>
    <w:rsid w:val="00943262"/>
    <w:rsid w:val="0094332D"/>
    <w:rsid w:val="0094334A"/>
    <w:rsid w:val="009433ED"/>
    <w:rsid w:val="0094351F"/>
    <w:rsid w:val="00943537"/>
    <w:rsid w:val="0094358E"/>
    <w:rsid w:val="00943646"/>
    <w:rsid w:val="00943809"/>
    <w:rsid w:val="0094383E"/>
    <w:rsid w:val="00943919"/>
    <w:rsid w:val="00943C09"/>
    <w:rsid w:val="00943D38"/>
    <w:rsid w:val="00943EC5"/>
    <w:rsid w:val="00944022"/>
    <w:rsid w:val="0094408C"/>
    <w:rsid w:val="0094428F"/>
    <w:rsid w:val="00944509"/>
    <w:rsid w:val="0094459A"/>
    <w:rsid w:val="009446BF"/>
    <w:rsid w:val="00944A78"/>
    <w:rsid w:val="00944B7F"/>
    <w:rsid w:val="00944BF4"/>
    <w:rsid w:val="00944C00"/>
    <w:rsid w:val="00944C05"/>
    <w:rsid w:val="00944CA9"/>
    <w:rsid w:val="00944E54"/>
    <w:rsid w:val="00944E9F"/>
    <w:rsid w:val="00945184"/>
    <w:rsid w:val="0094522B"/>
    <w:rsid w:val="00945324"/>
    <w:rsid w:val="0094534E"/>
    <w:rsid w:val="009453CD"/>
    <w:rsid w:val="009455CE"/>
    <w:rsid w:val="00945767"/>
    <w:rsid w:val="00945933"/>
    <w:rsid w:val="009459C8"/>
    <w:rsid w:val="00945AAD"/>
    <w:rsid w:val="00945B4E"/>
    <w:rsid w:val="00945C4F"/>
    <w:rsid w:val="00945C6A"/>
    <w:rsid w:val="00945D17"/>
    <w:rsid w:val="00945D8B"/>
    <w:rsid w:val="00945EA8"/>
    <w:rsid w:val="009460D5"/>
    <w:rsid w:val="00946188"/>
    <w:rsid w:val="00946210"/>
    <w:rsid w:val="00946454"/>
    <w:rsid w:val="0094647D"/>
    <w:rsid w:val="009464EB"/>
    <w:rsid w:val="00946593"/>
    <w:rsid w:val="009465B4"/>
    <w:rsid w:val="009466F2"/>
    <w:rsid w:val="00946703"/>
    <w:rsid w:val="009467AB"/>
    <w:rsid w:val="009468BE"/>
    <w:rsid w:val="00946A07"/>
    <w:rsid w:val="00946A9E"/>
    <w:rsid w:val="00946AFE"/>
    <w:rsid w:val="00946CAC"/>
    <w:rsid w:val="00946D71"/>
    <w:rsid w:val="00946DC4"/>
    <w:rsid w:val="00946DE1"/>
    <w:rsid w:val="00946E77"/>
    <w:rsid w:val="00946E84"/>
    <w:rsid w:val="00946F60"/>
    <w:rsid w:val="00947010"/>
    <w:rsid w:val="009474C7"/>
    <w:rsid w:val="0094766F"/>
    <w:rsid w:val="009476BC"/>
    <w:rsid w:val="00947720"/>
    <w:rsid w:val="00947914"/>
    <w:rsid w:val="00947AE8"/>
    <w:rsid w:val="00947B1B"/>
    <w:rsid w:val="00947B88"/>
    <w:rsid w:val="00947BE4"/>
    <w:rsid w:val="00947CDF"/>
    <w:rsid w:val="00947D01"/>
    <w:rsid w:val="00947D8D"/>
    <w:rsid w:val="00947E3F"/>
    <w:rsid w:val="00947F4D"/>
    <w:rsid w:val="00950231"/>
    <w:rsid w:val="00950379"/>
    <w:rsid w:val="0095039D"/>
    <w:rsid w:val="00950492"/>
    <w:rsid w:val="009504E3"/>
    <w:rsid w:val="0095054A"/>
    <w:rsid w:val="00950572"/>
    <w:rsid w:val="0095064A"/>
    <w:rsid w:val="009506CA"/>
    <w:rsid w:val="00950976"/>
    <w:rsid w:val="009509A1"/>
    <w:rsid w:val="00950A67"/>
    <w:rsid w:val="00950AFE"/>
    <w:rsid w:val="00950C19"/>
    <w:rsid w:val="00950CA4"/>
    <w:rsid w:val="00950CA8"/>
    <w:rsid w:val="00950D1C"/>
    <w:rsid w:val="00950DF0"/>
    <w:rsid w:val="00950F38"/>
    <w:rsid w:val="00950FDB"/>
    <w:rsid w:val="00950FDF"/>
    <w:rsid w:val="00951185"/>
    <w:rsid w:val="009511C9"/>
    <w:rsid w:val="009512BD"/>
    <w:rsid w:val="009513C4"/>
    <w:rsid w:val="009513D8"/>
    <w:rsid w:val="0095143B"/>
    <w:rsid w:val="0095146D"/>
    <w:rsid w:val="0095154A"/>
    <w:rsid w:val="009515B5"/>
    <w:rsid w:val="00951670"/>
    <w:rsid w:val="009518C3"/>
    <w:rsid w:val="009518F7"/>
    <w:rsid w:val="009519FC"/>
    <w:rsid w:val="00951BE3"/>
    <w:rsid w:val="00951E56"/>
    <w:rsid w:val="00951FA3"/>
    <w:rsid w:val="00952150"/>
    <w:rsid w:val="009521BA"/>
    <w:rsid w:val="009521F3"/>
    <w:rsid w:val="0095227F"/>
    <w:rsid w:val="00952372"/>
    <w:rsid w:val="009525BA"/>
    <w:rsid w:val="00952722"/>
    <w:rsid w:val="00952761"/>
    <w:rsid w:val="009528B3"/>
    <w:rsid w:val="00952A73"/>
    <w:rsid w:val="00952AB9"/>
    <w:rsid w:val="00952AF4"/>
    <w:rsid w:val="00952B0D"/>
    <w:rsid w:val="00952C0E"/>
    <w:rsid w:val="00952C57"/>
    <w:rsid w:val="00952D36"/>
    <w:rsid w:val="00952D43"/>
    <w:rsid w:val="00952F8E"/>
    <w:rsid w:val="00952FB1"/>
    <w:rsid w:val="0095308E"/>
    <w:rsid w:val="00953125"/>
    <w:rsid w:val="0095337B"/>
    <w:rsid w:val="00953409"/>
    <w:rsid w:val="0095341A"/>
    <w:rsid w:val="009534BC"/>
    <w:rsid w:val="00953593"/>
    <w:rsid w:val="00953681"/>
    <w:rsid w:val="009536AD"/>
    <w:rsid w:val="00953772"/>
    <w:rsid w:val="0095377D"/>
    <w:rsid w:val="00953886"/>
    <w:rsid w:val="00953ABA"/>
    <w:rsid w:val="00953C65"/>
    <w:rsid w:val="00953EB4"/>
    <w:rsid w:val="00953EDD"/>
    <w:rsid w:val="00953F4A"/>
    <w:rsid w:val="0095400B"/>
    <w:rsid w:val="00954125"/>
    <w:rsid w:val="0095419F"/>
    <w:rsid w:val="009541A8"/>
    <w:rsid w:val="009542AC"/>
    <w:rsid w:val="0095432A"/>
    <w:rsid w:val="0095435E"/>
    <w:rsid w:val="00954444"/>
    <w:rsid w:val="00954616"/>
    <w:rsid w:val="009547BF"/>
    <w:rsid w:val="009547DD"/>
    <w:rsid w:val="009547F8"/>
    <w:rsid w:val="00954821"/>
    <w:rsid w:val="00954889"/>
    <w:rsid w:val="009548E5"/>
    <w:rsid w:val="0095495B"/>
    <w:rsid w:val="00954A03"/>
    <w:rsid w:val="00954AD0"/>
    <w:rsid w:val="00954BB9"/>
    <w:rsid w:val="00954BBC"/>
    <w:rsid w:val="00954C7D"/>
    <w:rsid w:val="00954E56"/>
    <w:rsid w:val="00954E5F"/>
    <w:rsid w:val="00954F06"/>
    <w:rsid w:val="00954F31"/>
    <w:rsid w:val="0095500D"/>
    <w:rsid w:val="00955230"/>
    <w:rsid w:val="0095525E"/>
    <w:rsid w:val="00955279"/>
    <w:rsid w:val="009552A1"/>
    <w:rsid w:val="0095532A"/>
    <w:rsid w:val="009554A6"/>
    <w:rsid w:val="009554FF"/>
    <w:rsid w:val="00955534"/>
    <w:rsid w:val="00955744"/>
    <w:rsid w:val="00955963"/>
    <w:rsid w:val="00955AD2"/>
    <w:rsid w:val="00955CED"/>
    <w:rsid w:val="00955D8F"/>
    <w:rsid w:val="00955D91"/>
    <w:rsid w:val="00955DE3"/>
    <w:rsid w:val="00955F4B"/>
    <w:rsid w:val="00955F99"/>
    <w:rsid w:val="00956007"/>
    <w:rsid w:val="00956057"/>
    <w:rsid w:val="009560BF"/>
    <w:rsid w:val="0095618F"/>
    <w:rsid w:val="009561B0"/>
    <w:rsid w:val="009561B8"/>
    <w:rsid w:val="009564E8"/>
    <w:rsid w:val="0095654A"/>
    <w:rsid w:val="009568B9"/>
    <w:rsid w:val="0095698F"/>
    <w:rsid w:val="00956A85"/>
    <w:rsid w:val="00956B22"/>
    <w:rsid w:val="00956C78"/>
    <w:rsid w:val="00956CCC"/>
    <w:rsid w:val="00956D80"/>
    <w:rsid w:val="00956E6E"/>
    <w:rsid w:val="00956E9A"/>
    <w:rsid w:val="00956F00"/>
    <w:rsid w:val="009570B9"/>
    <w:rsid w:val="00957152"/>
    <w:rsid w:val="00957167"/>
    <w:rsid w:val="00957238"/>
    <w:rsid w:val="009572D2"/>
    <w:rsid w:val="0095741D"/>
    <w:rsid w:val="0095750F"/>
    <w:rsid w:val="00957552"/>
    <w:rsid w:val="00957584"/>
    <w:rsid w:val="009575D1"/>
    <w:rsid w:val="0095771A"/>
    <w:rsid w:val="00957746"/>
    <w:rsid w:val="0095778A"/>
    <w:rsid w:val="00957B6F"/>
    <w:rsid w:val="00957BB7"/>
    <w:rsid w:val="00957DFD"/>
    <w:rsid w:val="009600B6"/>
    <w:rsid w:val="00960443"/>
    <w:rsid w:val="009605D7"/>
    <w:rsid w:val="0096060A"/>
    <w:rsid w:val="00960773"/>
    <w:rsid w:val="009608C6"/>
    <w:rsid w:val="00960B59"/>
    <w:rsid w:val="00960BA1"/>
    <w:rsid w:val="00960BD2"/>
    <w:rsid w:val="00960D4D"/>
    <w:rsid w:val="00960D5A"/>
    <w:rsid w:val="00960E5B"/>
    <w:rsid w:val="00960F97"/>
    <w:rsid w:val="00961056"/>
    <w:rsid w:val="009610CA"/>
    <w:rsid w:val="0096110C"/>
    <w:rsid w:val="0096112C"/>
    <w:rsid w:val="009611A5"/>
    <w:rsid w:val="009611E8"/>
    <w:rsid w:val="00961430"/>
    <w:rsid w:val="00961444"/>
    <w:rsid w:val="00961491"/>
    <w:rsid w:val="00961553"/>
    <w:rsid w:val="0096158C"/>
    <w:rsid w:val="00961610"/>
    <w:rsid w:val="00961653"/>
    <w:rsid w:val="0096168B"/>
    <w:rsid w:val="00961745"/>
    <w:rsid w:val="009619BC"/>
    <w:rsid w:val="00961A26"/>
    <w:rsid w:val="00961A35"/>
    <w:rsid w:val="00961AE3"/>
    <w:rsid w:val="00961B07"/>
    <w:rsid w:val="00961C47"/>
    <w:rsid w:val="00961CAE"/>
    <w:rsid w:val="00961DDD"/>
    <w:rsid w:val="00961DF5"/>
    <w:rsid w:val="00961E15"/>
    <w:rsid w:val="00962004"/>
    <w:rsid w:val="00962262"/>
    <w:rsid w:val="009622B0"/>
    <w:rsid w:val="009622BA"/>
    <w:rsid w:val="009622C6"/>
    <w:rsid w:val="009623A1"/>
    <w:rsid w:val="009623AF"/>
    <w:rsid w:val="009623C0"/>
    <w:rsid w:val="0096244C"/>
    <w:rsid w:val="009624DB"/>
    <w:rsid w:val="009625C8"/>
    <w:rsid w:val="009626DE"/>
    <w:rsid w:val="009626E8"/>
    <w:rsid w:val="009626FB"/>
    <w:rsid w:val="00962AB1"/>
    <w:rsid w:val="00962ACF"/>
    <w:rsid w:val="00962C83"/>
    <w:rsid w:val="00962E44"/>
    <w:rsid w:val="00962F2E"/>
    <w:rsid w:val="00962F5C"/>
    <w:rsid w:val="0096308B"/>
    <w:rsid w:val="0096319F"/>
    <w:rsid w:val="009631BD"/>
    <w:rsid w:val="009631CE"/>
    <w:rsid w:val="00963203"/>
    <w:rsid w:val="009633A5"/>
    <w:rsid w:val="00963558"/>
    <w:rsid w:val="00963633"/>
    <w:rsid w:val="0096366C"/>
    <w:rsid w:val="009636D2"/>
    <w:rsid w:val="00963773"/>
    <w:rsid w:val="009637C7"/>
    <w:rsid w:val="00963825"/>
    <w:rsid w:val="00963A4B"/>
    <w:rsid w:val="00963C11"/>
    <w:rsid w:val="00963C25"/>
    <w:rsid w:val="00963CA2"/>
    <w:rsid w:val="00963D27"/>
    <w:rsid w:val="00963E76"/>
    <w:rsid w:val="00963EAC"/>
    <w:rsid w:val="00964108"/>
    <w:rsid w:val="009641A1"/>
    <w:rsid w:val="009641C1"/>
    <w:rsid w:val="009641D5"/>
    <w:rsid w:val="009641EF"/>
    <w:rsid w:val="0096420B"/>
    <w:rsid w:val="00964244"/>
    <w:rsid w:val="00964269"/>
    <w:rsid w:val="009643F3"/>
    <w:rsid w:val="00964404"/>
    <w:rsid w:val="00964438"/>
    <w:rsid w:val="00964491"/>
    <w:rsid w:val="009644EE"/>
    <w:rsid w:val="0096459D"/>
    <w:rsid w:val="009646E4"/>
    <w:rsid w:val="0096477C"/>
    <w:rsid w:val="009647FC"/>
    <w:rsid w:val="00964840"/>
    <w:rsid w:val="0096486F"/>
    <w:rsid w:val="009649FE"/>
    <w:rsid w:val="00964AD6"/>
    <w:rsid w:val="00964B49"/>
    <w:rsid w:val="00964D89"/>
    <w:rsid w:val="00964DD5"/>
    <w:rsid w:val="00964DDD"/>
    <w:rsid w:val="00964E6E"/>
    <w:rsid w:val="0096503B"/>
    <w:rsid w:val="0096510C"/>
    <w:rsid w:val="0096532D"/>
    <w:rsid w:val="00965470"/>
    <w:rsid w:val="0096556F"/>
    <w:rsid w:val="009655D8"/>
    <w:rsid w:val="00965608"/>
    <w:rsid w:val="00965955"/>
    <w:rsid w:val="009659F0"/>
    <w:rsid w:val="00965A9A"/>
    <w:rsid w:val="00965A9E"/>
    <w:rsid w:val="00965B1C"/>
    <w:rsid w:val="00965B6A"/>
    <w:rsid w:val="00965D53"/>
    <w:rsid w:val="00965DE6"/>
    <w:rsid w:val="00965E94"/>
    <w:rsid w:val="00965ED6"/>
    <w:rsid w:val="00966010"/>
    <w:rsid w:val="00966039"/>
    <w:rsid w:val="00966058"/>
    <w:rsid w:val="0096619B"/>
    <w:rsid w:val="0096628D"/>
    <w:rsid w:val="009662B5"/>
    <w:rsid w:val="00966323"/>
    <w:rsid w:val="0096640F"/>
    <w:rsid w:val="009664C1"/>
    <w:rsid w:val="00966878"/>
    <w:rsid w:val="00966958"/>
    <w:rsid w:val="00966A59"/>
    <w:rsid w:val="00966B41"/>
    <w:rsid w:val="00966BBE"/>
    <w:rsid w:val="00966DE6"/>
    <w:rsid w:val="0096705D"/>
    <w:rsid w:val="009670EB"/>
    <w:rsid w:val="00967129"/>
    <w:rsid w:val="009671AC"/>
    <w:rsid w:val="00967230"/>
    <w:rsid w:val="00967408"/>
    <w:rsid w:val="009676C0"/>
    <w:rsid w:val="00967A9D"/>
    <w:rsid w:val="00967AAF"/>
    <w:rsid w:val="00967AF5"/>
    <w:rsid w:val="00967D1A"/>
    <w:rsid w:val="00967F7E"/>
    <w:rsid w:val="009700B9"/>
    <w:rsid w:val="009701E3"/>
    <w:rsid w:val="00970205"/>
    <w:rsid w:val="009702AE"/>
    <w:rsid w:val="00970330"/>
    <w:rsid w:val="00970349"/>
    <w:rsid w:val="00970363"/>
    <w:rsid w:val="0097042A"/>
    <w:rsid w:val="009704B6"/>
    <w:rsid w:val="00970583"/>
    <w:rsid w:val="00970765"/>
    <w:rsid w:val="00970858"/>
    <w:rsid w:val="00970889"/>
    <w:rsid w:val="009708CC"/>
    <w:rsid w:val="00970984"/>
    <w:rsid w:val="00970997"/>
    <w:rsid w:val="00970B98"/>
    <w:rsid w:val="00970C9B"/>
    <w:rsid w:val="00970CB2"/>
    <w:rsid w:val="00970E4B"/>
    <w:rsid w:val="00970EA1"/>
    <w:rsid w:val="00970F17"/>
    <w:rsid w:val="00970F2B"/>
    <w:rsid w:val="009710E9"/>
    <w:rsid w:val="009713B0"/>
    <w:rsid w:val="0097156E"/>
    <w:rsid w:val="009715EC"/>
    <w:rsid w:val="00971632"/>
    <w:rsid w:val="009716DC"/>
    <w:rsid w:val="00971707"/>
    <w:rsid w:val="00971854"/>
    <w:rsid w:val="0097190D"/>
    <w:rsid w:val="0097193B"/>
    <w:rsid w:val="00971962"/>
    <w:rsid w:val="00971A9C"/>
    <w:rsid w:val="00971B62"/>
    <w:rsid w:val="00971B7F"/>
    <w:rsid w:val="00971BD3"/>
    <w:rsid w:val="00971BFA"/>
    <w:rsid w:val="00971C6C"/>
    <w:rsid w:val="00971EC9"/>
    <w:rsid w:val="00971EE5"/>
    <w:rsid w:val="0097201C"/>
    <w:rsid w:val="0097206E"/>
    <w:rsid w:val="00972141"/>
    <w:rsid w:val="009725F3"/>
    <w:rsid w:val="009725FB"/>
    <w:rsid w:val="00972954"/>
    <w:rsid w:val="009729B6"/>
    <w:rsid w:val="009729D4"/>
    <w:rsid w:val="00972AF1"/>
    <w:rsid w:val="00972C89"/>
    <w:rsid w:val="00972D1B"/>
    <w:rsid w:val="00972D7A"/>
    <w:rsid w:val="00972E41"/>
    <w:rsid w:val="00972EC6"/>
    <w:rsid w:val="00972F1E"/>
    <w:rsid w:val="0097303C"/>
    <w:rsid w:val="0097326F"/>
    <w:rsid w:val="00973279"/>
    <w:rsid w:val="0097332A"/>
    <w:rsid w:val="00973571"/>
    <w:rsid w:val="0097358C"/>
    <w:rsid w:val="00973672"/>
    <w:rsid w:val="00973871"/>
    <w:rsid w:val="00973898"/>
    <w:rsid w:val="009738D3"/>
    <w:rsid w:val="009739F5"/>
    <w:rsid w:val="00973BB5"/>
    <w:rsid w:val="00973D0F"/>
    <w:rsid w:val="00973F0F"/>
    <w:rsid w:val="00974015"/>
    <w:rsid w:val="00974027"/>
    <w:rsid w:val="00974045"/>
    <w:rsid w:val="00974119"/>
    <w:rsid w:val="009745A3"/>
    <w:rsid w:val="009745D4"/>
    <w:rsid w:val="009746BA"/>
    <w:rsid w:val="009747B1"/>
    <w:rsid w:val="00974885"/>
    <w:rsid w:val="00974B94"/>
    <w:rsid w:val="00974BF0"/>
    <w:rsid w:val="00974C06"/>
    <w:rsid w:val="00974C18"/>
    <w:rsid w:val="00974E02"/>
    <w:rsid w:val="00974F45"/>
    <w:rsid w:val="00975061"/>
    <w:rsid w:val="0097512F"/>
    <w:rsid w:val="0097524E"/>
    <w:rsid w:val="00975355"/>
    <w:rsid w:val="00975612"/>
    <w:rsid w:val="0097570C"/>
    <w:rsid w:val="00975776"/>
    <w:rsid w:val="009757B8"/>
    <w:rsid w:val="009757C4"/>
    <w:rsid w:val="009758E1"/>
    <w:rsid w:val="00975999"/>
    <w:rsid w:val="009759A6"/>
    <w:rsid w:val="00975B22"/>
    <w:rsid w:val="00975D62"/>
    <w:rsid w:val="00975E87"/>
    <w:rsid w:val="00975EEC"/>
    <w:rsid w:val="00975FAB"/>
    <w:rsid w:val="009760BE"/>
    <w:rsid w:val="0097611F"/>
    <w:rsid w:val="0097629B"/>
    <w:rsid w:val="0097644F"/>
    <w:rsid w:val="00976478"/>
    <w:rsid w:val="009765BB"/>
    <w:rsid w:val="009765EC"/>
    <w:rsid w:val="009766EA"/>
    <w:rsid w:val="009766F5"/>
    <w:rsid w:val="00976778"/>
    <w:rsid w:val="009768E2"/>
    <w:rsid w:val="00976A2D"/>
    <w:rsid w:val="00976C4A"/>
    <w:rsid w:val="00976CD8"/>
    <w:rsid w:val="00976D20"/>
    <w:rsid w:val="00976D45"/>
    <w:rsid w:val="00976D92"/>
    <w:rsid w:val="00976DD1"/>
    <w:rsid w:val="00976F3D"/>
    <w:rsid w:val="00977028"/>
    <w:rsid w:val="00977189"/>
    <w:rsid w:val="00977274"/>
    <w:rsid w:val="00977283"/>
    <w:rsid w:val="0097732B"/>
    <w:rsid w:val="009773DD"/>
    <w:rsid w:val="00977421"/>
    <w:rsid w:val="00977602"/>
    <w:rsid w:val="00977712"/>
    <w:rsid w:val="0097774D"/>
    <w:rsid w:val="009778A3"/>
    <w:rsid w:val="009779CB"/>
    <w:rsid w:val="00977DE8"/>
    <w:rsid w:val="00977E8D"/>
    <w:rsid w:val="00977EBA"/>
    <w:rsid w:val="0098005E"/>
    <w:rsid w:val="00980122"/>
    <w:rsid w:val="009801A1"/>
    <w:rsid w:val="009801BE"/>
    <w:rsid w:val="0098020F"/>
    <w:rsid w:val="00980294"/>
    <w:rsid w:val="009802EA"/>
    <w:rsid w:val="0098030A"/>
    <w:rsid w:val="0098033E"/>
    <w:rsid w:val="009804D1"/>
    <w:rsid w:val="00980528"/>
    <w:rsid w:val="0098067D"/>
    <w:rsid w:val="00980716"/>
    <w:rsid w:val="00980759"/>
    <w:rsid w:val="009809AA"/>
    <w:rsid w:val="00980A2B"/>
    <w:rsid w:val="00980C63"/>
    <w:rsid w:val="00980CFD"/>
    <w:rsid w:val="00980E6A"/>
    <w:rsid w:val="00980F26"/>
    <w:rsid w:val="00980FEB"/>
    <w:rsid w:val="00980FFA"/>
    <w:rsid w:val="009810A1"/>
    <w:rsid w:val="009810AC"/>
    <w:rsid w:val="009810B4"/>
    <w:rsid w:val="009810EC"/>
    <w:rsid w:val="00981127"/>
    <w:rsid w:val="0098112F"/>
    <w:rsid w:val="00981148"/>
    <w:rsid w:val="009812D4"/>
    <w:rsid w:val="00981314"/>
    <w:rsid w:val="00981451"/>
    <w:rsid w:val="009814D4"/>
    <w:rsid w:val="009815B6"/>
    <w:rsid w:val="009815C8"/>
    <w:rsid w:val="00981685"/>
    <w:rsid w:val="009817B0"/>
    <w:rsid w:val="009819E6"/>
    <w:rsid w:val="00981A54"/>
    <w:rsid w:val="00981B2F"/>
    <w:rsid w:val="00981BE4"/>
    <w:rsid w:val="00982187"/>
    <w:rsid w:val="009821CE"/>
    <w:rsid w:val="0098226C"/>
    <w:rsid w:val="009822EF"/>
    <w:rsid w:val="0098232C"/>
    <w:rsid w:val="009823F1"/>
    <w:rsid w:val="00982463"/>
    <w:rsid w:val="00982480"/>
    <w:rsid w:val="009824C7"/>
    <w:rsid w:val="0098274E"/>
    <w:rsid w:val="00982761"/>
    <w:rsid w:val="009827D1"/>
    <w:rsid w:val="0098293F"/>
    <w:rsid w:val="00982C50"/>
    <w:rsid w:val="00982CF2"/>
    <w:rsid w:val="00982E17"/>
    <w:rsid w:val="00982F4F"/>
    <w:rsid w:val="00983112"/>
    <w:rsid w:val="00983210"/>
    <w:rsid w:val="0098324C"/>
    <w:rsid w:val="00983347"/>
    <w:rsid w:val="0098340D"/>
    <w:rsid w:val="009834F0"/>
    <w:rsid w:val="00983506"/>
    <w:rsid w:val="00983629"/>
    <w:rsid w:val="009836A6"/>
    <w:rsid w:val="0098389C"/>
    <w:rsid w:val="009838AE"/>
    <w:rsid w:val="009839D5"/>
    <w:rsid w:val="00983A2B"/>
    <w:rsid w:val="00983C79"/>
    <w:rsid w:val="00983DF6"/>
    <w:rsid w:val="00983EAA"/>
    <w:rsid w:val="00983EC0"/>
    <w:rsid w:val="00983EE0"/>
    <w:rsid w:val="00983F83"/>
    <w:rsid w:val="0098413B"/>
    <w:rsid w:val="0098416C"/>
    <w:rsid w:val="00984189"/>
    <w:rsid w:val="0098454F"/>
    <w:rsid w:val="009845F2"/>
    <w:rsid w:val="00984616"/>
    <w:rsid w:val="00984792"/>
    <w:rsid w:val="009847C0"/>
    <w:rsid w:val="00984846"/>
    <w:rsid w:val="00984BB9"/>
    <w:rsid w:val="00984CE7"/>
    <w:rsid w:val="00984D55"/>
    <w:rsid w:val="00984ECD"/>
    <w:rsid w:val="00984FDB"/>
    <w:rsid w:val="00985254"/>
    <w:rsid w:val="00985288"/>
    <w:rsid w:val="00985355"/>
    <w:rsid w:val="00985367"/>
    <w:rsid w:val="00985468"/>
    <w:rsid w:val="0098571E"/>
    <w:rsid w:val="009857E0"/>
    <w:rsid w:val="009858CF"/>
    <w:rsid w:val="009859CA"/>
    <w:rsid w:val="00985C25"/>
    <w:rsid w:val="00985C91"/>
    <w:rsid w:val="00985CB2"/>
    <w:rsid w:val="00985D42"/>
    <w:rsid w:val="00985D8E"/>
    <w:rsid w:val="009860AD"/>
    <w:rsid w:val="009860E9"/>
    <w:rsid w:val="0098625D"/>
    <w:rsid w:val="009862D2"/>
    <w:rsid w:val="009862F0"/>
    <w:rsid w:val="0098634C"/>
    <w:rsid w:val="0098652C"/>
    <w:rsid w:val="0098652F"/>
    <w:rsid w:val="00986571"/>
    <w:rsid w:val="00986662"/>
    <w:rsid w:val="0098678D"/>
    <w:rsid w:val="00986918"/>
    <w:rsid w:val="00986A63"/>
    <w:rsid w:val="00986A80"/>
    <w:rsid w:val="00986DBE"/>
    <w:rsid w:val="00986E5E"/>
    <w:rsid w:val="00986FE0"/>
    <w:rsid w:val="009870B7"/>
    <w:rsid w:val="009870BE"/>
    <w:rsid w:val="0098713E"/>
    <w:rsid w:val="009871AF"/>
    <w:rsid w:val="009872F4"/>
    <w:rsid w:val="0098732C"/>
    <w:rsid w:val="009874CB"/>
    <w:rsid w:val="009875A4"/>
    <w:rsid w:val="00987645"/>
    <w:rsid w:val="0098766E"/>
    <w:rsid w:val="00987731"/>
    <w:rsid w:val="0098775C"/>
    <w:rsid w:val="009878B8"/>
    <w:rsid w:val="00987957"/>
    <w:rsid w:val="00987965"/>
    <w:rsid w:val="00987970"/>
    <w:rsid w:val="009879C4"/>
    <w:rsid w:val="00987D02"/>
    <w:rsid w:val="00987D0C"/>
    <w:rsid w:val="00987D15"/>
    <w:rsid w:val="00987DC3"/>
    <w:rsid w:val="00987E14"/>
    <w:rsid w:val="009900AA"/>
    <w:rsid w:val="009900D6"/>
    <w:rsid w:val="009901CC"/>
    <w:rsid w:val="00990301"/>
    <w:rsid w:val="0099034C"/>
    <w:rsid w:val="00990380"/>
    <w:rsid w:val="00990391"/>
    <w:rsid w:val="00990396"/>
    <w:rsid w:val="00990438"/>
    <w:rsid w:val="00990450"/>
    <w:rsid w:val="009904A1"/>
    <w:rsid w:val="009904A9"/>
    <w:rsid w:val="009904AB"/>
    <w:rsid w:val="009905A6"/>
    <w:rsid w:val="009905E9"/>
    <w:rsid w:val="009907AF"/>
    <w:rsid w:val="009907CE"/>
    <w:rsid w:val="0099081D"/>
    <w:rsid w:val="00990A04"/>
    <w:rsid w:val="00990A38"/>
    <w:rsid w:val="00990A57"/>
    <w:rsid w:val="00990B4A"/>
    <w:rsid w:val="00990E4E"/>
    <w:rsid w:val="00990ECC"/>
    <w:rsid w:val="0099126E"/>
    <w:rsid w:val="0099129B"/>
    <w:rsid w:val="00991489"/>
    <w:rsid w:val="0099170E"/>
    <w:rsid w:val="0099183B"/>
    <w:rsid w:val="009919DD"/>
    <w:rsid w:val="00991A47"/>
    <w:rsid w:val="00991C27"/>
    <w:rsid w:val="00991C85"/>
    <w:rsid w:val="00991CC7"/>
    <w:rsid w:val="00991F62"/>
    <w:rsid w:val="0099204F"/>
    <w:rsid w:val="0099205E"/>
    <w:rsid w:val="0099227D"/>
    <w:rsid w:val="00992297"/>
    <w:rsid w:val="009922B1"/>
    <w:rsid w:val="00992346"/>
    <w:rsid w:val="00992407"/>
    <w:rsid w:val="009925E5"/>
    <w:rsid w:val="00992808"/>
    <w:rsid w:val="009928C1"/>
    <w:rsid w:val="00992BB9"/>
    <w:rsid w:val="00992BEC"/>
    <w:rsid w:val="00992DAE"/>
    <w:rsid w:val="00992DCB"/>
    <w:rsid w:val="00992E20"/>
    <w:rsid w:val="00992F32"/>
    <w:rsid w:val="00992F77"/>
    <w:rsid w:val="00993066"/>
    <w:rsid w:val="00993284"/>
    <w:rsid w:val="009932E0"/>
    <w:rsid w:val="009932FB"/>
    <w:rsid w:val="00993391"/>
    <w:rsid w:val="009933AE"/>
    <w:rsid w:val="00993418"/>
    <w:rsid w:val="00993420"/>
    <w:rsid w:val="00993527"/>
    <w:rsid w:val="0099368D"/>
    <w:rsid w:val="0099376F"/>
    <w:rsid w:val="009937EA"/>
    <w:rsid w:val="00993A80"/>
    <w:rsid w:val="00993B83"/>
    <w:rsid w:val="00993CE4"/>
    <w:rsid w:val="00993D1B"/>
    <w:rsid w:val="00993DC0"/>
    <w:rsid w:val="00993DD7"/>
    <w:rsid w:val="00993F0F"/>
    <w:rsid w:val="00993F70"/>
    <w:rsid w:val="0099403D"/>
    <w:rsid w:val="009943D0"/>
    <w:rsid w:val="00994494"/>
    <w:rsid w:val="009944D4"/>
    <w:rsid w:val="009945A9"/>
    <w:rsid w:val="009945D6"/>
    <w:rsid w:val="00994808"/>
    <w:rsid w:val="009948E6"/>
    <w:rsid w:val="00994A85"/>
    <w:rsid w:val="00994ACD"/>
    <w:rsid w:val="00994CEF"/>
    <w:rsid w:val="00994D42"/>
    <w:rsid w:val="00994D89"/>
    <w:rsid w:val="00994E17"/>
    <w:rsid w:val="00994E6D"/>
    <w:rsid w:val="00994F8D"/>
    <w:rsid w:val="00995183"/>
    <w:rsid w:val="00995584"/>
    <w:rsid w:val="00995600"/>
    <w:rsid w:val="00995676"/>
    <w:rsid w:val="0099568B"/>
    <w:rsid w:val="0099577D"/>
    <w:rsid w:val="00995818"/>
    <w:rsid w:val="009958CA"/>
    <w:rsid w:val="009959E5"/>
    <w:rsid w:val="00995A51"/>
    <w:rsid w:val="00995A57"/>
    <w:rsid w:val="00995AD2"/>
    <w:rsid w:val="00995B70"/>
    <w:rsid w:val="00995BE5"/>
    <w:rsid w:val="00995C7B"/>
    <w:rsid w:val="00995CBF"/>
    <w:rsid w:val="00995E1A"/>
    <w:rsid w:val="00995ED2"/>
    <w:rsid w:val="00995F98"/>
    <w:rsid w:val="009961B3"/>
    <w:rsid w:val="00996335"/>
    <w:rsid w:val="00996438"/>
    <w:rsid w:val="009964CE"/>
    <w:rsid w:val="009965CD"/>
    <w:rsid w:val="00996773"/>
    <w:rsid w:val="009968DE"/>
    <w:rsid w:val="009968FF"/>
    <w:rsid w:val="0099693F"/>
    <w:rsid w:val="00996A3B"/>
    <w:rsid w:val="00996AD8"/>
    <w:rsid w:val="00996B5B"/>
    <w:rsid w:val="00996C4F"/>
    <w:rsid w:val="00996C83"/>
    <w:rsid w:val="00996D37"/>
    <w:rsid w:val="00996F23"/>
    <w:rsid w:val="00997057"/>
    <w:rsid w:val="009970A4"/>
    <w:rsid w:val="0099722E"/>
    <w:rsid w:val="0099737E"/>
    <w:rsid w:val="009973C9"/>
    <w:rsid w:val="009973F2"/>
    <w:rsid w:val="00997461"/>
    <w:rsid w:val="0099755A"/>
    <w:rsid w:val="00997629"/>
    <w:rsid w:val="00997916"/>
    <w:rsid w:val="00997B5A"/>
    <w:rsid w:val="00997B80"/>
    <w:rsid w:val="00997CFE"/>
    <w:rsid w:val="00997D6A"/>
    <w:rsid w:val="00997DAF"/>
    <w:rsid w:val="00997ED6"/>
    <w:rsid w:val="00997F2E"/>
    <w:rsid w:val="009A03B3"/>
    <w:rsid w:val="009A0462"/>
    <w:rsid w:val="009A06B1"/>
    <w:rsid w:val="009A0723"/>
    <w:rsid w:val="009A07B6"/>
    <w:rsid w:val="009A08ED"/>
    <w:rsid w:val="009A0ADD"/>
    <w:rsid w:val="009A0AE4"/>
    <w:rsid w:val="009A0B17"/>
    <w:rsid w:val="009A0C39"/>
    <w:rsid w:val="009A0E87"/>
    <w:rsid w:val="009A0FA6"/>
    <w:rsid w:val="009A1033"/>
    <w:rsid w:val="009A1065"/>
    <w:rsid w:val="009A1466"/>
    <w:rsid w:val="009A1721"/>
    <w:rsid w:val="009A17A4"/>
    <w:rsid w:val="009A1898"/>
    <w:rsid w:val="009A189C"/>
    <w:rsid w:val="009A1BA6"/>
    <w:rsid w:val="009A1BDD"/>
    <w:rsid w:val="009A1D9F"/>
    <w:rsid w:val="009A1DB3"/>
    <w:rsid w:val="009A221D"/>
    <w:rsid w:val="009A22CA"/>
    <w:rsid w:val="009A22D0"/>
    <w:rsid w:val="009A237F"/>
    <w:rsid w:val="009A243D"/>
    <w:rsid w:val="009A251B"/>
    <w:rsid w:val="009A2631"/>
    <w:rsid w:val="009A2684"/>
    <w:rsid w:val="009A26C9"/>
    <w:rsid w:val="009A271E"/>
    <w:rsid w:val="009A274C"/>
    <w:rsid w:val="009A277C"/>
    <w:rsid w:val="009A2CB3"/>
    <w:rsid w:val="009A2D10"/>
    <w:rsid w:val="009A2E7A"/>
    <w:rsid w:val="009A2F98"/>
    <w:rsid w:val="009A31B3"/>
    <w:rsid w:val="009A3252"/>
    <w:rsid w:val="009A325C"/>
    <w:rsid w:val="009A333B"/>
    <w:rsid w:val="009A359B"/>
    <w:rsid w:val="009A3873"/>
    <w:rsid w:val="009A38A7"/>
    <w:rsid w:val="009A3967"/>
    <w:rsid w:val="009A3974"/>
    <w:rsid w:val="009A39A6"/>
    <w:rsid w:val="009A3A17"/>
    <w:rsid w:val="009A3A5D"/>
    <w:rsid w:val="009A3BEB"/>
    <w:rsid w:val="009A3C1F"/>
    <w:rsid w:val="009A3D5C"/>
    <w:rsid w:val="009A4191"/>
    <w:rsid w:val="009A41E0"/>
    <w:rsid w:val="009A4201"/>
    <w:rsid w:val="009A43D5"/>
    <w:rsid w:val="009A4509"/>
    <w:rsid w:val="009A450B"/>
    <w:rsid w:val="009A4596"/>
    <w:rsid w:val="009A46E4"/>
    <w:rsid w:val="009A46F9"/>
    <w:rsid w:val="009A4791"/>
    <w:rsid w:val="009A4862"/>
    <w:rsid w:val="009A4869"/>
    <w:rsid w:val="009A4896"/>
    <w:rsid w:val="009A4929"/>
    <w:rsid w:val="009A4931"/>
    <w:rsid w:val="009A4A00"/>
    <w:rsid w:val="009A4A36"/>
    <w:rsid w:val="009A4A7F"/>
    <w:rsid w:val="009A4D05"/>
    <w:rsid w:val="009A4E72"/>
    <w:rsid w:val="009A4F47"/>
    <w:rsid w:val="009A4FD0"/>
    <w:rsid w:val="009A5145"/>
    <w:rsid w:val="009A537F"/>
    <w:rsid w:val="009A551D"/>
    <w:rsid w:val="009A56FA"/>
    <w:rsid w:val="009A5829"/>
    <w:rsid w:val="009A59A6"/>
    <w:rsid w:val="009A5B75"/>
    <w:rsid w:val="009A5E0C"/>
    <w:rsid w:val="009A5EB0"/>
    <w:rsid w:val="009A5FE6"/>
    <w:rsid w:val="009A5FF7"/>
    <w:rsid w:val="009A60CA"/>
    <w:rsid w:val="009A6163"/>
    <w:rsid w:val="009A6446"/>
    <w:rsid w:val="009A6534"/>
    <w:rsid w:val="009A658F"/>
    <w:rsid w:val="009A669A"/>
    <w:rsid w:val="009A66D3"/>
    <w:rsid w:val="009A6A07"/>
    <w:rsid w:val="009A6A39"/>
    <w:rsid w:val="009A6A3A"/>
    <w:rsid w:val="009A6A8F"/>
    <w:rsid w:val="009A6AC8"/>
    <w:rsid w:val="009A6B3C"/>
    <w:rsid w:val="009A6B55"/>
    <w:rsid w:val="009A6CC1"/>
    <w:rsid w:val="009A6CFB"/>
    <w:rsid w:val="009A6D36"/>
    <w:rsid w:val="009A6E07"/>
    <w:rsid w:val="009A6E8E"/>
    <w:rsid w:val="009A7048"/>
    <w:rsid w:val="009A7138"/>
    <w:rsid w:val="009A7277"/>
    <w:rsid w:val="009A75F2"/>
    <w:rsid w:val="009A780E"/>
    <w:rsid w:val="009A7876"/>
    <w:rsid w:val="009A7BAC"/>
    <w:rsid w:val="009A7CE0"/>
    <w:rsid w:val="009A7D24"/>
    <w:rsid w:val="009A7F99"/>
    <w:rsid w:val="009B01C1"/>
    <w:rsid w:val="009B0436"/>
    <w:rsid w:val="009B04BE"/>
    <w:rsid w:val="009B04D4"/>
    <w:rsid w:val="009B0517"/>
    <w:rsid w:val="009B065A"/>
    <w:rsid w:val="009B0743"/>
    <w:rsid w:val="009B088F"/>
    <w:rsid w:val="009B089D"/>
    <w:rsid w:val="009B092F"/>
    <w:rsid w:val="009B0A38"/>
    <w:rsid w:val="009B0AD4"/>
    <w:rsid w:val="009B0B29"/>
    <w:rsid w:val="009B0C1F"/>
    <w:rsid w:val="009B0D65"/>
    <w:rsid w:val="009B0DD9"/>
    <w:rsid w:val="009B1137"/>
    <w:rsid w:val="009B1370"/>
    <w:rsid w:val="009B13A5"/>
    <w:rsid w:val="009B1501"/>
    <w:rsid w:val="009B16BF"/>
    <w:rsid w:val="009B172A"/>
    <w:rsid w:val="009B18DE"/>
    <w:rsid w:val="009B18E8"/>
    <w:rsid w:val="009B1C20"/>
    <w:rsid w:val="009B1CE8"/>
    <w:rsid w:val="009B1D41"/>
    <w:rsid w:val="009B1D43"/>
    <w:rsid w:val="009B1FDB"/>
    <w:rsid w:val="009B20B0"/>
    <w:rsid w:val="009B20B4"/>
    <w:rsid w:val="009B219E"/>
    <w:rsid w:val="009B2249"/>
    <w:rsid w:val="009B2343"/>
    <w:rsid w:val="009B2473"/>
    <w:rsid w:val="009B24A8"/>
    <w:rsid w:val="009B24DC"/>
    <w:rsid w:val="009B258E"/>
    <w:rsid w:val="009B2794"/>
    <w:rsid w:val="009B27CC"/>
    <w:rsid w:val="009B29D2"/>
    <w:rsid w:val="009B2A58"/>
    <w:rsid w:val="009B2AF7"/>
    <w:rsid w:val="009B2D8B"/>
    <w:rsid w:val="009B2E68"/>
    <w:rsid w:val="009B2EA5"/>
    <w:rsid w:val="009B2F6A"/>
    <w:rsid w:val="009B3080"/>
    <w:rsid w:val="009B30DA"/>
    <w:rsid w:val="009B30E2"/>
    <w:rsid w:val="009B31F7"/>
    <w:rsid w:val="009B3251"/>
    <w:rsid w:val="009B33C4"/>
    <w:rsid w:val="009B34D7"/>
    <w:rsid w:val="009B34EA"/>
    <w:rsid w:val="009B3630"/>
    <w:rsid w:val="009B371D"/>
    <w:rsid w:val="009B38CF"/>
    <w:rsid w:val="009B38E6"/>
    <w:rsid w:val="009B3AAA"/>
    <w:rsid w:val="009B3B6D"/>
    <w:rsid w:val="009B3BAF"/>
    <w:rsid w:val="009B3DBF"/>
    <w:rsid w:val="009B3E25"/>
    <w:rsid w:val="009B3E4C"/>
    <w:rsid w:val="009B3E95"/>
    <w:rsid w:val="009B3F0F"/>
    <w:rsid w:val="009B3FD7"/>
    <w:rsid w:val="009B40C3"/>
    <w:rsid w:val="009B4141"/>
    <w:rsid w:val="009B4249"/>
    <w:rsid w:val="009B43ED"/>
    <w:rsid w:val="009B45DB"/>
    <w:rsid w:val="009B45EA"/>
    <w:rsid w:val="009B461D"/>
    <w:rsid w:val="009B48E4"/>
    <w:rsid w:val="009B4A48"/>
    <w:rsid w:val="009B4A88"/>
    <w:rsid w:val="009B4CB9"/>
    <w:rsid w:val="009B4DBA"/>
    <w:rsid w:val="009B50E9"/>
    <w:rsid w:val="009B5171"/>
    <w:rsid w:val="009B5178"/>
    <w:rsid w:val="009B51FF"/>
    <w:rsid w:val="009B524D"/>
    <w:rsid w:val="009B5367"/>
    <w:rsid w:val="009B55B7"/>
    <w:rsid w:val="009B5837"/>
    <w:rsid w:val="009B58AD"/>
    <w:rsid w:val="009B58FF"/>
    <w:rsid w:val="009B5940"/>
    <w:rsid w:val="009B5950"/>
    <w:rsid w:val="009B59AF"/>
    <w:rsid w:val="009B5A04"/>
    <w:rsid w:val="009B5AEB"/>
    <w:rsid w:val="009B5B7E"/>
    <w:rsid w:val="009B5BBC"/>
    <w:rsid w:val="009B5BE4"/>
    <w:rsid w:val="009B5C23"/>
    <w:rsid w:val="009B5C36"/>
    <w:rsid w:val="009B5C84"/>
    <w:rsid w:val="009B6132"/>
    <w:rsid w:val="009B61FD"/>
    <w:rsid w:val="009B62A8"/>
    <w:rsid w:val="009B62DF"/>
    <w:rsid w:val="009B6585"/>
    <w:rsid w:val="009B65A8"/>
    <w:rsid w:val="009B67BA"/>
    <w:rsid w:val="009B6876"/>
    <w:rsid w:val="009B68A2"/>
    <w:rsid w:val="009B6A1E"/>
    <w:rsid w:val="009B6AB6"/>
    <w:rsid w:val="009B6AF4"/>
    <w:rsid w:val="009B6B25"/>
    <w:rsid w:val="009B6C34"/>
    <w:rsid w:val="009B6C98"/>
    <w:rsid w:val="009B6D4C"/>
    <w:rsid w:val="009B6E43"/>
    <w:rsid w:val="009B6E7F"/>
    <w:rsid w:val="009B708C"/>
    <w:rsid w:val="009B709B"/>
    <w:rsid w:val="009B7291"/>
    <w:rsid w:val="009B7336"/>
    <w:rsid w:val="009B7382"/>
    <w:rsid w:val="009B7397"/>
    <w:rsid w:val="009B73F3"/>
    <w:rsid w:val="009B74D2"/>
    <w:rsid w:val="009B74E0"/>
    <w:rsid w:val="009B776D"/>
    <w:rsid w:val="009B782A"/>
    <w:rsid w:val="009B7873"/>
    <w:rsid w:val="009B78A5"/>
    <w:rsid w:val="009B78D8"/>
    <w:rsid w:val="009B7941"/>
    <w:rsid w:val="009B795C"/>
    <w:rsid w:val="009B79ED"/>
    <w:rsid w:val="009B7A9C"/>
    <w:rsid w:val="009B7AA9"/>
    <w:rsid w:val="009B7C22"/>
    <w:rsid w:val="009B7C40"/>
    <w:rsid w:val="009B7D8E"/>
    <w:rsid w:val="009B7DAF"/>
    <w:rsid w:val="009B7DB4"/>
    <w:rsid w:val="009B7FC1"/>
    <w:rsid w:val="009C0063"/>
    <w:rsid w:val="009C022E"/>
    <w:rsid w:val="009C022F"/>
    <w:rsid w:val="009C02B3"/>
    <w:rsid w:val="009C03D7"/>
    <w:rsid w:val="009C0464"/>
    <w:rsid w:val="009C0546"/>
    <w:rsid w:val="009C057E"/>
    <w:rsid w:val="009C07C8"/>
    <w:rsid w:val="009C07D4"/>
    <w:rsid w:val="009C07F8"/>
    <w:rsid w:val="009C0DA8"/>
    <w:rsid w:val="009C0FEF"/>
    <w:rsid w:val="009C1003"/>
    <w:rsid w:val="009C102B"/>
    <w:rsid w:val="009C1092"/>
    <w:rsid w:val="009C10ED"/>
    <w:rsid w:val="009C10F3"/>
    <w:rsid w:val="009C1181"/>
    <w:rsid w:val="009C1198"/>
    <w:rsid w:val="009C119E"/>
    <w:rsid w:val="009C1279"/>
    <w:rsid w:val="009C12E8"/>
    <w:rsid w:val="009C1617"/>
    <w:rsid w:val="009C1649"/>
    <w:rsid w:val="009C16E3"/>
    <w:rsid w:val="009C176F"/>
    <w:rsid w:val="009C18C0"/>
    <w:rsid w:val="009C1A52"/>
    <w:rsid w:val="009C1B63"/>
    <w:rsid w:val="009C1B75"/>
    <w:rsid w:val="009C1DA4"/>
    <w:rsid w:val="009C1DF0"/>
    <w:rsid w:val="009C1E65"/>
    <w:rsid w:val="009C1EA8"/>
    <w:rsid w:val="009C1F40"/>
    <w:rsid w:val="009C20C6"/>
    <w:rsid w:val="009C21A9"/>
    <w:rsid w:val="009C23C4"/>
    <w:rsid w:val="009C23EC"/>
    <w:rsid w:val="009C24A2"/>
    <w:rsid w:val="009C24AF"/>
    <w:rsid w:val="009C24FF"/>
    <w:rsid w:val="009C259D"/>
    <w:rsid w:val="009C2880"/>
    <w:rsid w:val="009C29AF"/>
    <w:rsid w:val="009C29BB"/>
    <w:rsid w:val="009C2A39"/>
    <w:rsid w:val="009C2CC4"/>
    <w:rsid w:val="009C2E20"/>
    <w:rsid w:val="009C2E2F"/>
    <w:rsid w:val="009C2FDF"/>
    <w:rsid w:val="009C309D"/>
    <w:rsid w:val="009C32AC"/>
    <w:rsid w:val="009C3472"/>
    <w:rsid w:val="009C3519"/>
    <w:rsid w:val="009C35D4"/>
    <w:rsid w:val="009C3736"/>
    <w:rsid w:val="009C3771"/>
    <w:rsid w:val="009C39A8"/>
    <w:rsid w:val="009C3D44"/>
    <w:rsid w:val="009C3FCF"/>
    <w:rsid w:val="009C40F3"/>
    <w:rsid w:val="009C427C"/>
    <w:rsid w:val="009C4363"/>
    <w:rsid w:val="009C4647"/>
    <w:rsid w:val="009C4716"/>
    <w:rsid w:val="009C47E1"/>
    <w:rsid w:val="009C48A3"/>
    <w:rsid w:val="009C4AB6"/>
    <w:rsid w:val="009C4BCB"/>
    <w:rsid w:val="009C4BEF"/>
    <w:rsid w:val="009C4FE2"/>
    <w:rsid w:val="009C50EA"/>
    <w:rsid w:val="009C5240"/>
    <w:rsid w:val="009C5557"/>
    <w:rsid w:val="009C5677"/>
    <w:rsid w:val="009C576A"/>
    <w:rsid w:val="009C57CC"/>
    <w:rsid w:val="009C5833"/>
    <w:rsid w:val="009C593E"/>
    <w:rsid w:val="009C5977"/>
    <w:rsid w:val="009C59FC"/>
    <w:rsid w:val="009C5B39"/>
    <w:rsid w:val="009C5C12"/>
    <w:rsid w:val="009C5C34"/>
    <w:rsid w:val="009C5D14"/>
    <w:rsid w:val="009C6180"/>
    <w:rsid w:val="009C61DD"/>
    <w:rsid w:val="009C624A"/>
    <w:rsid w:val="009C6302"/>
    <w:rsid w:val="009C630E"/>
    <w:rsid w:val="009C637A"/>
    <w:rsid w:val="009C638A"/>
    <w:rsid w:val="009C6399"/>
    <w:rsid w:val="009C647E"/>
    <w:rsid w:val="009C6530"/>
    <w:rsid w:val="009C65B0"/>
    <w:rsid w:val="009C6797"/>
    <w:rsid w:val="009C67D1"/>
    <w:rsid w:val="009C6969"/>
    <w:rsid w:val="009C6A1A"/>
    <w:rsid w:val="009C6A45"/>
    <w:rsid w:val="009C6C1D"/>
    <w:rsid w:val="009C6C6C"/>
    <w:rsid w:val="009C701C"/>
    <w:rsid w:val="009C723E"/>
    <w:rsid w:val="009C729B"/>
    <w:rsid w:val="009C73CE"/>
    <w:rsid w:val="009C74FD"/>
    <w:rsid w:val="009C7701"/>
    <w:rsid w:val="009C7785"/>
    <w:rsid w:val="009C782D"/>
    <w:rsid w:val="009C7870"/>
    <w:rsid w:val="009C789F"/>
    <w:rsid w:val="009C7A75"/>
    <w:rsid w:val="009C7B7B"/>
    <w:rsid w:val="009C7BA4"/>
    <w:rsid w:val="009C7DEC"/>
    <w:rsid w:val="009C7F06"/>
    <w:rsid w:val="009C7F43"/>
    <w:rsid w:val="009D0169"/>
    <w:rsid w:val="009D016C"/>
    <w:rsid w:val="009D0182"/>
    <w:rsid w:val="009D01C3"/>
    <w:rsid w:val="009D025B"/>
    <w:rsid w:val="009D03D2"/>
    <w:rsid w:val="009D03E2"/>
    <w:rsid w:val="009D041C"/>
    <w:rsid w:val="009D04A0"/>
    <w:rsid w:val="009D04BB"/>
    <w:rsid w:val="009D055A"/>
    <w:rsid w:val="009D0713"/>
    <w:rsid w:val="009D0715"/>
    <w:rsid w:val="009D091A"/>
    <w:rsid w:val="009D0A65"/>
    <w:rsid w:val="009D0ABB"/>
    <w:rsid w:val="009D0B43"/>
    <w:rsid w:val="009D100E"/>
    <w:rsid w:val="009D101B"/>
    <w:rsid w:val="009D1148"/>
    <w:rsid w:val="009D11B5"/>
    <w:rsid w:val="009D1562"/>
    <w:rsid w:val="009D15A7"/>
    <w:rsid w:val="009D181F"/>
    <w:rsid w:val="009D182B"/>
    <w:rsid w:val="009D188E"/>
    <w:rsid w:val="009D1899"/>
    <w:rsid w:val="009D1A72"/>
    <w:rsid w:val="009D1B7D"/>
    <w:rsid w:val="009D1D6F"/>
    <w:rsid w:val="009D1E7C"/>
    <w:rsid w:val="009D1F01"/>
    <w:rsid w:val="009D1FC8"/>
    <w:rsid w:val="009D2111"/>
    <w:rsid w:val="009D258D"/>
    <w:rsid w:val="009D25D8"/>
    <w:rsid w:val="009D25E9"/>
    <w:rsid w:val="009D2645"/>
    <w:rsid w:val="009D266B"/>
    <w:rsid w:val="009D2801"/>
    <w:rsid w:val="009D2840"/>
    <w:rsid w:val="009D2B87"/>
    <w:rsid w:val="009D2B8E"/>
    <w:rsid w:val="009D2C89"/>
    <w:rsid w:val="009D2CFF"/>
    <w:rsid w:val="009D2D2D"/>
    <w:rsid w:val="009D2F02"/>
    <w:rsid w:val="009D2F3B"/>
    <w:rsid w:val="009D2F42"/>
    <w:rsid w:val="009D2F7B"/>
    <w:rsid w:val="009D2F84"/>
    <w:rsid w:val="009D2FBC"/>
    <w:rsid w:val="009D334E"/>
    <w:rsid w:val="009D3365"/>
    <w:rsid w:val="009D337A"/>
    <w:rsid w:val="009D3399"/>
    <w:rsid w:val="009D340C"/>
    <w:rsid w:val="009D3590"/>
    <w:rsid w:val="009D3613"/>
    <w:rsid w:val="009D3699"/>
    <w:rsid w:val="009D36DA"/>
    <w:rsid w:val="009D37C6"/>
    <w:rsid w:val="009D37CD"/>
    <w:rsid w:val="009D381E"/>
    <w:rsid w:val="009D3843"/>
    <w:rsid w:val="009D384C"/>
    <w:rsid w:val="009D3852"/>
    <w:rsid w:val="009D39FB"/>
    <w:rsid w:val="009D39FE"/>
    <w:rsid w:val="009D3AAB"/>
    <w:rsid w:val="009D3C17"/>
    <w:rsid w:val="009D3C97"/>
    <w:rsid w:val="009D3CE8"/>
    <w:rsid w:val="009D3D05"/>
    <w:rsid w:val="009D3E0B"/>
    <w:rsid w:val="009D3E67"/>
    <w:rsid w:val="009D3EBC"/>
    <w:rsid w:val="009D4087"/>
    <w:rsid w:val="009D41B8"/>
    <w:rsid w:val="009D4234"/>
    <w:rsid w:val="009D426F"/>
    <w:rsid w:val="009D432C"/>
    <w:rsid w:val="009D44B9"/>
    <w:rsid w:val="009D44FC"/>
    <w:rsid w:val="009D473D"/>
    <w:rsid w:val="009D48F8"/>
    <w:rsid w:val="009D4A15"/>
    <w:rsid w:val="009D4B65"/>
    <w:rsid w:val="009D4B8E"/>
    <w:rsid w:val="009D4C03"/>
    <w:rsid w:val="009D4C1E"/>
    <w:rsid w:val="009D4E7C"/>
    <w:rsid w:val="009D4F03"/>
    <w:rsid w:val="009D4F7F"/>
    <w:rsid w:val="009D4FF3"/>
    <w:rsid w:val="009D5047"/>
    <w:rsid w:val="009D5106"/>
    <w:rsid w:val="009D510E"/>
    <w:rsid w:val="009D512C"/>
    <w:rsid w:val="009D5130"/>
    <w:rsid w:val="009D515F"/>
    <w:rsid w:val="009D5177"/>
    <w:rsid w:val="009D51A0"/>
    <w:rsid w:val="009D51DB"/>
    <w:rsid w:val="009D521C"/>
    <w:rsid w:val="009D5318"/>
    <w:rsid w:val="009D5324"/>
    <w:rsid w:val="009D554B"/>
    <w:rsid w:val="009D555A"/>
    <w:rsid w:val="009D559F"/>
    <w:rsid w:val="009D5641"/>
    <w:rsid w:val="009D574E"/>
    <w:rsid w:val="009D5993"/>
    <w:rsid w:val="009D59F0"/>
    <w:rsid w:val="009D5A55"/>
    <w:rsid w:val="009D5AE6"/>
    <w:rsid w:val="009D5C30"/>
    <w:rsid w:val="009D5C5E"/>
    <w:rsid w:val="009D5CDB"/>
    <w:rsid w:val="009D5D3C"/>
    <w:rsid w:val="009D5D5B"/>
    <w:rsid w:val="009D5DDB"/>
    <w:rsid w:val="009D5FD5"/>
    <w:rsid w:val="009D604D"/>
    <w:rsid w:val="009D6067"/>
    <w:rsid w:val="009D634B"/>
    <w:rsid w:val="009D66B1"/>
    <w:rsid w:val="009D66C4"/>
    <w:rsid w:val="009D6787"/>
    <w:rsid w:val="009D67DE"/>
    <w:rsid w:val="009D68B3"/>
    <w:rsid w:val="009D68F6"/>
    <w:rsid w:val="009D6A11"/>
    <w:rsid w:val="009D6A3E"/>
    <w:rsid w:val="009D6B2B"/>
    <w:rsid w:val="009D6B46"/>
    <w:rsid w:val="009D6CC2"/>
    <w:rsid w:val="009D6F97"/>
    <w:rsid w:val="009D7073"/>
    <w:rsid w:val="009D71D0"/>
    <w:rsid w:val="009D7416"/>
    <w:rsid w:val="009D7511"/>
    <w:rsid w:val="009D7527"/>
    <w:rsid w:val="009D756A"/>
    <w:rsid w:val="009D77A8"/>
    <w:rsid w:val="009D784F"/>
    <w:rsid w:val="009D7906"/>
    <w:rsid w:val="009D79FC"/>
    <w:rsid w:val="009D7A41"/>
    <w:rsid w:val="009D7A55"/>
    <w:rsid w:val="009D7C48"/>
    <w:rsid w:val="009D7FB3"/>
    <w:rsid w:val="009E0074"/>
    <w:rsid w:val="009E0214"/>
    <w:rsid w:val="009E021F"/>
    <w:rsid w:val="009E0227"/>
    <w:rsid w:val="009E02F0"/>
    <w:rsid w:val="009E044B"/>
    <w:rsid w:val="009E044E"/>
    <w:rsid w:val="009E04E2"/>
    <w:rsid w:val="009E0557"/>
    <w:rsid w:val="009E060B"/>
    <w:rsid w:val="009E0629"/>
    <w:rsid w:val="009E0921"/>
    <w:rsid w:val="009E0939"/>
    <w:rsid w:val="009E098D"/>
    <w:rsid w:val="009E0A42"/>
    <w:rsid w:val="009E0A49"/>
    <w:rsid w:val="009E0CA5"/>
    <w:rsid w:val="009E0D46"/>
    <w:rsid w:val="009E0D74"/>
    <w:rsid w:val="009E0DAA"/>
    <w:rsid w:val="009E0EDE"/>
    <w:rsid w:val="009E10C6"/>
    <w:rsid w:val="009E136F"/>
    <w:rsid w:val="009E13F0"/>
    <w:rsid w:val="009E14A8"/>
    <w:rsid w:val="009E14BB"/>
    <w:rsid w:val="009E1555"/>
    <w:rsid w:val="009E1560"/>
    <w:rsid w:val="009E15E6"/>
    <w:rsid w:val="009E165F"/>
    <w:rsid w:val="009E16C2"/>
    <w:rsid w:val="009E171B"/>
    <w:rsid w:val="009E171E"/>
    <w:rsid w:val="009E17B6"/>
    <w:rsid w:val="009E1977"/>
    <w:rsid w:val="009E19FD"/>
    <w:rsid w:val="009E1A8D"/>
    <w:rsid w:val="009E1CC4"/>
    <w:rsid w:val="009E1DD9"/>
    <w:rsid w:val="009E1F57"/>
    <w:rsid w:val="009E1F76"/>
    <w:rsid w:val="009E1FB0"/>
    <w:rsid w:val="009E2083"/>
    <w:rsid w:val="009E2133"/>
    <w:rsid w:val="009E21B4"/>
    <w:rsid w:val="009E220A"/>
    <w:rsid w:val="009E2228"/>
    <w:rsid w:val="009E225D"/>
    <w:rsid w:val="009E23B5"/>
    <w:rsid w:val="009E2428"/>
    <w:rsid w:val="009E243B"/>
    <w:rsid w:val="009E24FE"/>
    <w:rsid w:val="009E25F1"/>
    <w:rsid w:val="009E262A"/>
    <w:rsid w:val="009E2672"/>
    <w:rsid w:val="009E26C0"/>
    <w:rsid w:val="009E26FF"/>
    <w:rsid w:val="009E2755"/>
    <w:rsid w:val="009E2977"/>
    <w:rsid w:val="009E29A6"/>
    <w:rsid w:val="009E29FB"/>
    <w:rsid w:val="009E2A64"/>
    <w:rsid w:val="009E2E5F"/>
    <w:rsid w:val="009E31F9"/>
    <w:rsid w:val="009E336A"/>
    <w:rsid w:val="009E3451"/>
    <w:rsid w:val="009E3484"/>
    <w:rsid w:val="009E34F8"/>
    <w:rsid w:val="009E3535"/>
    <w:rsid w:val="009E374F"/>
    <w:rsid w:val="009E3869"/>
    <w:rsid w:val="009E38E3"/>
    <w:rsid w:val="009E3ADE"/>
    <w:rsid w:val="009E3B0F"/>
    <w:rsid w:val="009E3B21"/>
    <w:rsid w:val="009E3C26"/>
    <w:rsid w:val="009E3CF4"/>
    <w:rsid w:val="009E3ED0"/>
    <w:rsid w:val="009E3FBB"/>
    <w:rsid w:val="009E4060"/>
    <w:rsid w:val="009E40A7"/>
    <w:rsid w:val="009E4184"/>
    <w:rsid w:val="009E4302"/>
    <w:rsid w:val="009E4394"/>
    <w:rsid w:val="009E44BC"/>
    <w:rsid w:val="009E4510"/>
    <w:rsid w:val="009E45A5"/>
    <w:rsid w:val="009E4643"/>
    <w:rsid w:val="009E47C8"/>
    <w:rsid w:val="009E4867"/>
    <w:rsid w:val="009E49DC"/>
    <w:rsid w:val="009E4A5B"/>
    <w:rsid w:val="009E4AFE"/>
    <w:rsid w:val="009E4B5F"/>
    <w:rsid w:val="009E4C6D"/>
    <w:rsid w:val="009E4CE2"/>
    <w:rsid w:val="009E4DF5"/>
    <w:rsid w:val="009E4F32"/>
    <w:rsid w:val="009E4F35"/>
    <w:rsid w:val="009E4F65"/>
    <w:rsid w:val="009E5060"/>
    <w:rsid w:val="009E50D7"/>
    <w:rsid w:val="009E5342"/>
    <w:rsid w:val="009E53AE"/>
    <w:rsid w:val="009E5778"/>
    <w:rsid w:val="009E57FF"/>
    <w:rsid w:val="009E58AB"/>
    <w:rsid w:val="009E5999"/>
    <w:rsid w:val="009E5A5D"/>
    <w:rsid w:val="009E5B9F"/>
    <w:rsid w:val="009E5D9C"/>
    <w:rsid w:val="009E5E56"/>
    <w:rsid w:val="009E5EFF"/>
    <w:rsid w:val="009E605B"/>
    <w:rsid w:val="009E6096"/>
    <w:rsid w:val="009E60DD"/>
    <w:rsid w:val="009E6112"/>
    <w:rsid w:val="009E62CE"/>
    <w:rsid w:val="009E62F9"/>
    <w:rsid w:val="009E63B2"/>
    <w:rsid w:val="009E63B4"/>
    <w:rsid w:val="009E6414"/>
    <w:rsid w:val="009E663A"/>
    <w:rsid w:val="009E685D"/>
    <w:rsid w:val="009E6A16"/>
    <w:rsid w:val="009E6A20"/>
    <w:rsid w:val="009E6A4F"/>
    <w:rsid w:val="009E6BB7"/>
    <w:rsid w:val="009E6C39"/>
    <w:rsid w:val="009E6C45"/>
    <w:rsid w:val="009E6EA7"/>
    <w:rsid w:val="009E6EDA"/>
    <w:rsid w:val="009E720A"/>
    <w:rsid w:val="009E72D2"/>
    <w:rsid w:val="009E731F"/>
    <w:rsid w:val="009E74FF"/>
    <w:rsid w:val="009E75DC"/>
    <w:rsid w:val="009E76E1"/>
    <w:rsid w:val="009E7836"/>
    <w:rsid w:val="009E7A04"/>
    <w:rsid w:val="009E7B7C"/>
    <w:rsid w:val="009E7BDA"/>
    <w:rsid w:val="009E7C8E"/>
    <w:rsid w:val="009E7D31"/>
    <w:rsid w:val="009E7DF4"/>
    <w:rsid w:val="009E7E79"/>
    <w:rsid w:val="009E7EF7"/>
    <w:rsid w:val="009F00DD"/>
    <w:rsid w:val="009F0221"/>
    <w:rsid w:val="009F02C5"/>
    <w:rsid w:val="009F02FC"/>
    <w:rsid w:val="009F03D1"/>
    <w:rsid w:val="009F0634"/>
    <w:rsid w:val="009F06B7"/>
    <w:rsid w:val="009F076F"/>
    <w:rsid w:val="009F09AA"/>
    <w:rsid w:val="009F09B8"/>
    <w:rsid w:val="009F0D0C"/>
    <w:rsid w:val="009F0D8E"/>
    <w:rsid w:val="009F0DE9"/>
    <w:rsid w:val="009F0E25"/>
    <w:rsid w:val="009F1228"/>
    <w:rsid w:val="009F1261"/>
    <w:rsid w:val="009F12A0"/>
    <w:rsid w:val="009F1416"/>
    <w:rsid w:val="009F1420"/>
    <w:rsid w:val="009F14D5"/>
    <w:rsid w:val="009F1518"/>
    <w:rsid w:val="009F16A3"/>
    <w:rsid w:val="009F1E75"/>
    <w:rsid w:val="009F1F6B"/>
    <w:rsid w:val="009F2054"/>
    <w:rsid w:val="009F212E"/>
    <w:rsid w:val="009F222D"/>
    <w:rsid w:val="009F2266"/>
    <w:rsid w:val="009F24C8"/>
    <w:rsid w:val="009F2581"/>
    <w:rsid w:val="009F25DE"/>
    <w:rsid w:val="009F2651"/>
    <w:rsid w:val="009F265B"/>
    <w:rsid w:val="009F26E3"/>
    <w:rsid w:val="009F27C2"/>
    <w:rsid w:val="009F2A1D"/>
    <w:rsid w:val="009F2E15"/>
    <w:rsid w:val="009F2EFB"/>
    <w:rsid w:val="009F3267"/>
    <w:rsid w:val="009F32BA"/>
    <w:rsid w:val="009F337C"/>
    <w:rsid w:val="009F339A"/>
    <w:rsid w:val="009F33BB"/>
    <w:rsid w:val="009F3405"/>
    <w:rsid w:val="009F3481"/>
    <w:rsid w:val="009F350A"/>
    <w:rsid w:val="009F353F"/>
    <w:rsid w:val="009F362E"/>
    <w:rsid w:val="009F3676"/>
    <w:rsid w:val="009F36B0"/>
    <w:rsid w:val="009F36FF"/>
    <w:rsid w:val="009F3768"/>
    <w:rsid w:val="009F3924"/>
    <w:rsid w:val="009F3A1E"/>
    <w:rsid w:val="009F3A2B"/>
    <w:rsid w:val="009F3A9D"/>
    <w:rsid w:val="009F3B45"/>
    <w:rsid w:val="009F3B88"/>
    <w:rsid w:val="009F3BCA"/>
    <w:rsid w:val="009F3C92"/>
    <w:rsid w:val="009F3FDE"/>
    <w:rsid w:val="009F41CD"/>
    <w:rsid w:val="009F42AA"/>
    <w:rsid w:val="009F43A8"/>
    <w:rsid w:val="009F43D2"/>
    <w:rsid w:val="009F453B"/>
    <w:rsid w:val="009F457D"/>
    <w:rsid w:val="009F46A4"/>
    <w:rsid w:val="009F46AD"/>
    <w:rsid w:val="009F4729"/>
    <w:rsid w:val="009F48BE"/>
    <w:rsid w:val="009F4929"/>
    <w:rsid w:val="009F4A89"/>
    <w:rsid w:val="009F4AB8"/>
    <w:rsid w:val="009F4B58"/>
    <w:rsid w:val="009F4BAC"/>
    <w:rsid w:val="009F4CD8"/>
    <w:rsid w:val="009F4D4C"/>
    <w:rsid w:val="009F4E40"/>
    <w:rsid w:val="009F4EC0"/>
    <w:rsid w:val="009F4EE7"/>
    <w:rsid w:val="009F4F82"/>
    <w:rsid w:val="009F505E"/>
    <w:rsid w:val="009F5368"/>
    <w:rsid w:val="009F53D0"/>
    <w:rsid w:val="009F54C8"/>
    <w:rsid w:val="009F55D9"/>
    <w:rsid w:val="009F5ABB"/>
    <w:rsid w:val="009F5C7E"/>
    <w:rsid w:val="009F5E91"/>
    <w:rsid w:val="009F5F03"/>
    <w:rsid w:val="009F6136"/>
    <w:rsid w:val="009F6169"/>
    <w:rsid w:val="009F61CC"/>
    <w:rsid w:val="009F6264"/>
    <w:rsid w:val="009F630F"/>
    <w:rsid w:val="009F63B8"/>
    <w:rsid w:val="009F646A"/>
    <w:rsid w:val="009F64BF"/>
    <w:rsid w:val="009F6613"/>
    <w:rsid w:val="009F665E"/>
    <w:rsid w:val="009F6886"/>
    <w:rsid w:val="009F6920"/>
    <w:rsid w:val="009F6A21"/>
    <w:rsid w:val="009F6A30"/>
    <w:rsid w:val="009F6ACE"/>
    <w:rsid w:val="009F6FBD"/>
    <w:rsid w:val="009F6FC2"/>
    <w:rsid w:val="009F6FD2"/>
    <w:rsid w:val="009F7058"/>
    <w:rsid w:val="009F7216"/>
    <w:rsid w:val="009F7262"/>
    <w:rsid w:val="009F7274"/>
    <w:rsid w:val="009F74DD"/>
    <w:rsid w:val="009F74F2"/>
    <w:rsid w:val="009F75FE"/>
    <w:rsid w:val="009F766D"/>
    <w:rsid w:val="009F76AC"/>
    <w:rsid w:val="009F76C4"/>
    <w:rsid w:val="009F77DD"/>
    <w:rsid w:val="009F7A80"/>
    <w:rsid w:val="009F7B77"/>
    <w:rsid w:val="009F7B95"/>
    <w:rsid w:val="009F7BEC"/>
    <w:rsid w:val="009F7D2C"/>
    <w:rsid w:val="009F7DDF"/>
    <w:rsid w:val="009F7DEC"/>
    <w:rsid w:val="009F7E7D"/>
    <w:rsid w:val="009F7EFD"/>
    <w:rsid w:val="009F7F86"/>
    <w:rsid w:val="009F7F93"/>
    <w:rsid w:val="009F7FCE"/>
    <w:rsid w:val="00A00096"/>
    <w:rsid w:val="00A0017B"/>
    <w:rsid w:val="00A001F3"/>
    <w:rsid w:val="00A00204"/>
    <w:rsid w:val="00A0040E"/>
    <w:rsid w:val="00A00494"/>
    <w:rsid w:val="00A005B0"/>
    <w:rsid w:val="00A00720"/>
    <w:rsid w:val="00A007A5"/>
    <w:rsid w:val="00A00832"/>
    <w:rsid w:val="00A00881"/>
    <w:rsid w:val="00A00956"/>
    <w:rsid w:val="00A00AC4"/>
    <w:rsid w:val="00A00BA0"/>
    <w:rsid w:val="00A00C0A"/>
    <w:rsid w:val="00A00C5F"/>
    <w:rsid w:val="00A00EBF"/>
    <w:rsid w:val="00A00F44"/>
    <w:rsid w:val="00A00FC2"/>
    <w:rsid w:val="00A01078"/>
    <w:rsid w:val="00A01126"/>
    <w:rsid w:val="00A01183"/>
    <w:rsid w:val="00A01206"/>
    <w:rsid w:val="00A0125F"/>
    <w:rsid w:val="00A0131D"/>
    <w:rsid w:val="00A0157B"/>
    <w:rsid w:val="00A015E8"/>
    <w:rsid w:val="00A0169B"/>
    <w:rsid w:val="00A01902"/>
    <w:rsid w:val="00A01950"/>
    <w:rsid w:val="00A01A04"/>
    <w:rsid w:val="00A01A67"/>
    <w:rsid w:val="00A01A7C"/>
    <w:rsid w:val="00A01AD6"/>
    <w:rsid w:val="00A01B84"/>
    <w:rsid w:val="00A01BC1"/>
    <w:rsid w:val="00A01C9F"/>
    <w:rsid w:val="00A01CFC"/>
    <w:rsid w:val="00A01D34"/>
    <w:rsid w:val="00A01E87"/>
    <w:rsid w:val="00A01EE4"/>
    <w:rsid w:val="00A01F05"/>
    <w:rsid w:val="00A020A6"/>
    <w:rsid w:val="00A020B7"/>
    <w:rsid w:val="00A020C8"/>
    <w:rsid w:val="00A020DA"/>
    <w:rsid w:val="00A021E1"/>
    <w:rsid w:val="00A022A3"/>
    <w:rsid w:val="00A023D1"/>
    <w:rsid w:val="00A023F9"/>
    <w:rsid w:val="00A023FC"/>
    <w:rsid w:val="00A02413"/>
    <w:rsid w:val="00A02432"/>
    <w:rsid w:val="00A0253A"/>
    <w:rsid w:val="00A02617"/>
    <w:rsid w:val="00A02A81"/>
    <w:rsid w:val="00A02B1C"/>
    <w:rsid w:val="00A02B1E"/>
    <w:rsid w:val="00A02B71"/>
    <w:rsid w:val="00A02C6D"/>
    <w:rsid w:val="00A02D46"/>
    <w:rsid w:val="00A02F03"/>
    <w:rsid w:val="00A02F1B"/>
    <w:rsid w:val="00A030B2"/>
    <w:rsid w:val="00A031B0"/>
    <w:rsid w:val="00A0341B"/>
    <w:rsid w:val="00A0372E"/>
    <w:rsid w:val="00A037B1"/>
    <w:rsid w:val="00A038BC"/>
    <w:rsid w:val="00A03CE4"/>
    <w:rsid w:val="00A03DAD"/>
    <w:rsid w:val="00A03E1A"/>
    <w:rsid w:val="00A03EDE"/>
    <w:rsid w:val="00A03EE0"/>
    <w:rsid w:val="00A03FF4"/>
    <w:rsid w:val="00A04044"/>
    <w:rsid w:val="00A040DC"/>
    <w:rsid w:val="00A044EA"/>
    <w:rsid w:val="00A04702"/>
    <w:rsid w:val="00A047CB"/>
    <w:rsid w:val="00A049A5"/>
    <w:rsid w:val="00A04AD0"/>
    <w:rsid w:val="00A04AEF"/>
    <w:rsid w:val="00A04AF0"/>
    <w:rsid w:val="00A04B23"/>
    <w:rsid w:val="00A04B51"/>
    <w:rsid w:val="00A04E03"/>
    <w:rsid w:val="00A04F65"/>
    <w:rsid w:val="00A050EA"/>
    <w:rsid w:val="00A051DA"/>
    <w:rsid w:val="00A051E8"/>
    <w:rsid w:val="00A05300"/>
    <w:rsid w:val="00A053EB"/>
    <w:rsid w:val="00A0542E"/>
    <w:rsid w:val="00A055F4"/>
    <w:rsid w:val="00A05640"/>
    <w:rsid w:val="00A05650"/>
    <w:rsid w:val="00A05938"/>
    <w:rsid w:val="00A05BA7"/>
    <w:rsid w:val="00A05C8B"/>
    <w:rsid w:val="00A05D91"/>
    <w:rsid w:val="00A05DFE"/>
    <w:rsid w:val="00A05E25"/>
    <w:rsid w:val="00A05EB6"/>
    <w:rsid w:val="00A060CF"/>
    <w:rsid w:val="00A0617D"/>
    <w:rsid w:val="00A06231"/>
    <w:rsid w:val="00A062AF"/>
    <w:rsid w:val="00A0631E"/>
    <w:rsid w:val="00A06483"/>
    <w:rsid w:val="00A06863"/>
    <w:rsid w:val="00A06950"/>
    <w:rsid w:val="00A06AC9"/>
    <w:rsid w:val="00A06AEE"/>
    <w:rsid w:val="00A06AFA"/>
    <w:rsid w:val="00A06BD8"/>
    <w:rsid w:val="00A06C1C"/>
    <w:rsid w:val="00A06E77"/>
    <w:rsid w:val="00A06E9E"/>
    <w:rsid w:val="00A06FE5"/>
    <w:rsid w:val="00A0726C"/>
    <w:rsid w:val="00A072FD"/>
    <w:rsid w:val="00A07346"/>
    <w:rsid w:val="00A073C7"/>
    <w:rsid w:val="00A073F0"/>
    <w:rsid w:val="00A0741F"/>
    <w:rsid w:val="00A07568"/>
    <w:rsid w:val="00A0762F"/>
    <w:rsid w:val="00A0769D"/>
    <w:rsid w:val="00A076A3"/>
    <w:rsid w:val="00A076AC"/>
    <w:rsid w:val="00A076FC"/>
    <w:rsid w:val="00A07747"/>
    <w:rsid w:val="00A077BB"/>
    <w:rsid w:val="00A0793F"/>
    <w:rsid w:val="00A07BF5"/>
    <w:rsid w:val="00A07C8F"/>
    <w:rsid w:val="00A07D47"/>
    <w:rsid w:val="00A07DA5"/>
    <w:rsid w:val="00A07E68"/>
    <w:rsid w:val="00A10042"/>
    <w:rsid w:val="00A10170"/>
    <w:rsid w:val="00A101B9"/>
    <w:rsid w:val="00A103A4"/>
    <w:rsid w:val="00A104F5"/>
    <w:rsid w:val="00A1053D"/>
    <w:rsid w:val="00A10593"/>
    <w:rsid w:val="00A106E8"/>
    <w:rsid w:val="00A10713"/>
    <w:rsid w:val="00A10861"/>
    <w:rsid w:val="00A108DA"/>
    <w:rsid w:val="00A10AB8"/>
    <w:rsid w:val="00A10B35"/>
    <w:rsid w:val="00A10C11"/>
    <w:rsid w:val="00A10C4E"/>
    <w:rsid w:val="00A10D1F"/>
    <w:rsid w:val="00A11061"/>
    <w:rsid w:val="00A111D2"/>
    <w:rsid w:val="00A112C6"/>
    <w:rsid w:val="00A1143C"/>
    <w:rsid w:val="00A11622"/>
    <w:rsid w:val="00A11694"/>
    <w:rsid w:val="00A117C0"/>
    <w:rsid w:val="00A11818"/>
    <w:rsid w:val="00A1182A"/>
    <w:rsid w:val="00A1182E"/>
    <w:rsid w:val="00A1192A"/>
    <w:rsid w:val="00A11B01"/>
    <w:rsid w:val="00A11B0B"/>
    <w:rsid w:val="00A11B70"/>
    <w:rsid w:val="00A11B72"/>
    <w:rsid w:val="00A11C33"/>
    <w:rsid w:val="00A11E79"/>
    <w:rsid w:val="00A11E9F"/>
    <w:rsid w:val="00A121B0"/>
    <w:rsid w:val="00A121C9"/>
    <w:rsid w:val="00A121EC"/>
    <w:rsid w:val="00A12340"/>
    <w:rsid w:val="00A12378"/>
    <w:rsid w:val="00A12423"/>
    <w:rsid w:val="00A1250A"/>
    <w:rsid w:val="00A12545"/>
    <w:rsid w:val="00A12555"/>
    <w:rsid w:val="00A12696"/>
    <w:rsid w:val="00A127C2"/>
    <w:rsid w:val="00A129A2"/>
    <w:rsid w:val="00A129FB"/>
    <w:rsid w:val="00A12B33"/>
    <w:rsid w:val="00A12BC9"/>
    <w:rsid w:val="00A12CE3"/>
    <w:rsid w:val="00A12D1B"/>
    <w:rsid w:val="00A12D4B"/>
    <w:rsid w:val="00A12DBE"/>
    <w:rsid w:val="00A12F62"/>
    <w:rsid w:val="00A12FA4"/>
    <w:rsid w:val="00A13049"/>
    <w:rsid w:val="00A131A3"/>
    <w:rsid w:val="00A1322E"/>
    <w:rsid w:val="00A1339F"/>
    <w:rsid w:val="00A133E8"/>
    <w:rsid w:val="00A1371E"/>
    <w:rsid w:val="00A13870"/>
    <w:rsid w:val="00A139B7"/>
    <w:rsid w:val="00A13AF3"/>
    <w:rsid w:val="00A13D15"/>
    <w:rsid w:val="00A13EA6"/>
    <w:rsid w:val="00A13EE5"/>
    <w:rsid w:val="00A14048"/>
    <w:rsid w:val="00A141C2"/>
    <w:rsid w:val="00A142F4"/>
    <w:rsid w:val="00A1441B"/>
    <w:rsid w:val="00A14546"/>
    <w:rsid w:val="00A146B4"/>
    <w:rsid w:val="00A1491E"/>
    <w:rsid w:val="00A1496D"/>
    <w:rsid w:val="00A14A1C"/>
    <w:rsid w:val="00A14BC8"/>
    <w:rsid w:val="00A14C45"/>
    <w:rsid w:val="00A14C4C"/>
    <w:rsid w:val="00A14CFB"/>
    <w:rsid w:val="00A14D63"/>
    <w:rsid w:val="00A14DFF"/>
    <w:rsid w:val="00A14E98"/>
    <w:rsid w:val="00A14FE9"/>
    <w:rsid w:val="00A1502E"/>
    <w:rsid w:val="00A150B4"/>
    <w:rsid w:val="00A150C7"/>
    <w:rsid w:val="00A150E6"/>
    <w:rsid w:val="00A151ED"/>
    <w:rsid w:val="00A1526F"/>
    <w:rsid w:val="00A1547B"/>
    <w:rsid w:val="00A15597"/>
    <w:rsid w:val="00A155BF"/>
    <w:rsid w:val="00A155DD"/>
    <w:rsid w:val="00A155F0"/>
    <w:rsid w:val="00A1561E"/>
    <w:rsid w:val="00A156ED"/>
    <w:rsid w:val="00A15839"/>
    <w:rsid w:val="00A15883"/>
    <w:rsid w:val="00A15F47"/>
    <w:rsid w:val="00A15FFB"/>
    <w:rsid w:val="00A16018"/>
    <w:rsid w:val="00A16100"/>
    <w:rsid w:val="00A1616F"/>
    <w:rsid w:val="00A1653B"/>
    <w:rsid w:val="00A1653D"/>
    <w:rsid w:val="00A1659E"/>
    <w:rsid w:val="00A1662E"/>
    <w:rsid w:val="00A16734"/>
    <w:rsid w:val="00A16785"/>
    <w:rsid w:val="00A16880"/>
    <w:rsid w:val="00A168E0"/>
    <w:rsid w:val="00A16B33"/>
    <w:rsid w:val="00A16BC3"/>
    <w:rsid w:val="00A16CB2"/>
    <w:rsid w:val="00A16D4B"/>
    <w:rsid w:val="00A16D71"/>
    <w:rsid w:val="00A16DD1"/>
    <w:rsid w:val="00A16EB3"/>
    <w:rsid w:val="00A17123"/>
    <w:rsid w:val="00A17228"/>
    <w:rsid w:val="00A172D9"/>
    <w:rsid w:val="00A17358"/>
    <w:rsid w:val="00A1736C"/>
    <w:rsid w:val="00A17418"/>
    <w:rsid w:val="00A17468"/>
    <w:rsid w:val="00A174C5"/>
    <w:rsid w:val="00A17598"/>
    <w:rsid w:val="00A175A9"/>
    <w:rsid w:val="00A17709"/>
    <w:rsid w:val="00A17842"/>
    <w:rsid w:val="00A17A1D"/>
    <w:rsid w:val="00A17AC6"/>
    <w:rsid w:val="00A17BFA"/>
    <w:rsid w:val="00A17CD6"/>
    <w:rsid w:val="00A17D17"/>
    <w:rsid w:val="00A17FFB"/>
    <w:rsid w:val="00A20238"/>
    <w:rsid w:val="00A2027C"/>
    <w:rsid w:val="00A20642"/>
    <w:rsid w:val="00A20667"/>
    <w:rsid w:val="00A2079A"/>
    <w:rsid w:val="00A2081C"/>
    <w:rsid w:val="00A20867"/>
    <w:rsid w:val="00A209F1"/>
    <w:rsid w:val="00A20A75"/>
    <w:rsid w:val="00A20AED"/>
    <w:rsid w:val="00A20AF1"/>
    <w:rsid w:val="00A20CAA"/>
    <w:rsid w:val="00A20CB2"/>
    <w:rsid w:val="00A20CF1"/>
    <w:rsid w:val="00A20D5B"/>
    <w:rsid w:val="00A20E0E"/>
    <w:rsid w:val="00A20E7D"/>
    <w:rsid w:val="00A21051"/>
    <w:rsid w:val="00A21322"/>
    <w:rsid w:val="00A21599"/>
    <w:rsid w:val="00A216A2"/>
    <w:rsid w:val="00A216D4"/>
    <w:rsid w:val="00A2195A"/>
    <w:rsid w:val="00A21A21"/>
    <w:rsid w:val="00A21C75"/>
    <w:rsid w:val="00A21DD9"/>
    <w:rsid w:val="00A21EE5"/>
    <w:rsid w:val="00A22070"/>
    <w:rsid w:val="00A220DC"/>
    <w:rsid w:val="00A22194"/>
    <w:rsid w:val="00A2226F"/>
    <w:rsid w:val="00A22296"/>
    <w:rsid w:val="00A2229E"/>
    <w:rsid w:val="00A2234E"/>
    <w:rsid w:val="00A223D8"/>
    <w:rsid w:val="00A223FF"/>
    <w:rsid w:val="00A225A8"/>
    <w:rsid w:val="00A226DF"/>
    <w:rsid w:val="00A22921"/>
    <w:rsid w:val="00A22922"/>
    <w:rsid w:val="00A22C39"/>
    <w:rsid w:val="00A22D4F"/>
    <w:rsid w:val="00A22E28"/>
    <w:rsid w:val="00A22F18"/>
    <w:rsid w:val="00A22F1D"/>
    <w:rsid w:val="00A22F23"/>
    <w:rsid w:val="00A23059"/>
    <w:rsid w:val="00A23129"/>
    <w:rsid w:val="00A234F1"/>
    <w:rsid w:val="00A23528"/>
    <w:rsid w:val="00A235F4"/>
    <w:rsid w:val="00A23650"/>
    <w:rsid w:val="00A236F4"/>
    <w:rsid w:val="00A2382B"/>
    <w:rsid w:val="00A23A8F"/>
    <w:rsid w:val="00A23B61"/>
    <w:rsid w:val="00A23D5C"/>
    <w:rsid w:val="00A23E3F"/>
    <w:rsid w:val="00A23E66"/>
    <w:rsid w:val="00A23E81"/>
    <w:rsid w:val="00A23F46"/>
    <w:rsid w:val="00A23F4E"/>
    <w:rsid w:val="00A23FB9"/>
    <w:rsid w:val="00A24031"/>
    <w:rsid w:val="00A242A6"/>
    <w:rsid w:val="00A24623"/>
    <w:rsid w:val="00A2463A"/>
    <w:rsid w:val="00A246B2"/>
    <w:rsid w:val="00A248EE"/>
    <w:rsid w:val="00A2491E"/>
    <w:rsid w:val="00A24AC4"/>
    <w:rsid w:val="00A24BD8"/>
    <w:rsid w:val="00A24CDE"/>
    <w:rsid w:val="00A24DA5"/>
    <w:rsid w:val="00A24E82"/>
    <w:rsid w:val="00A24EDC"/>
    <w:rsid w:val="00A25013"/>
    <w:rsid w:val="00A250BC"/>
    <w:rsid w:val="00A250D2"/>
    <w:rsid w:val="00A25208"/>
    <w:rsid w:val="00A25299"/>
    <w:rsid w:val="00A25352"/>
    <w:rsid w:val="00A2537F"/>
    <w:rsid w:val="00A25412"/>
    <w:rsid w:val="00A254C9"/>
    <w:rsid w:val="00A25527"/>
    <w:rsid w:val="00A2582C"/>
    <w:rsid w:val="00A25869"/>
    <w:rsid w:val="00A25876"/>
    <w:rsid w:val="00A25952"/>
    <w:rsid w:val="00A259AB"/>
    <w:rsid w:val="00A25A63"/>
    <w:rsid w:val="00A25A76"/>
    <w:rsid w:val="00A25B14"/>
    <w:rsid w:val="00A25B9B"/>
    <w:rsid w:val="00A25CB3"/>
    <w:rsid w:val="00A25DE2"/>
    <w:rsid w:val="00A25E2E"/>
    <w:rsid w:val="00A25E3F"/>
    <w:rsid w:val="00A25E87"/>
    <w:rsid w:val="00A25F02"/>
    <w:rsid w:val="00A2635B"/>
    <w:rsid w:val="00A2651F"/>
    <w:rsid w:val="00A2656B"/>
    <w:rsid w:val="00A265FE"/>
    <w:rsid w:val="00A26623"/>
    <w:rsid w:val="00A26658"/>
    <w:rsid w:val="00A26CFF"/>
    <w:rsid w:val="00A26D4B"/>
    <w:rsid w:val="00A26D63"/>
    <w:rsid w:val="00A26DE0"/>
    <w:rsid w:val="00A26EEC"/>
    <w:rsid w:val="00A27080"/>
    <w:rsid w:val="00A272C7"/>
    <w:rsid w:val="00A2735A"/>
    <w:rsid w:val="00A273D3"/>
    <w:rsid w:val="00A27428"/>
    <w:rsid w:val="00A2746F"/>
    <w:rsid w:val="00A27512"/>
    <w:rsid w:val="00A2753D"/>
    <w:rsid w:val="00A27574"/>
    <w:rsid w:val="00A27586"/>
    <w:rsid w:val="00A2758D"/>
    <w:rsid w:val="00A2762E"/>
    <w:rsid w:val="00A277DF"/>
    <w:rsid w:val="00A2791D"/>
    <w:rsid w:val="00A27944"/>
    <w:rsid w:val="00A27AB9"/>
    <w:rsid w:val="00A27BD6"/>
    <w:rsid w:val="00A27C59"/>
    <w:rsid w:val="00A27DE6"/>
    <w:rsid w:val="00A27E1F"/>
    <w:rsid w:val="00A27EC7"/>
    <w:rsid w:val="00A27FE5"/>
    <w:rsid w:val="00A30059"/>
    <w:rsid w:val="00A30103"/>
    <w:rsid w:val="00A30296"/>
    <w:rsid w:val="00A302B1"/>
    <w:rsid w:val="00A3044C"/>
    <w:rsid w:val="00A30583"/>
    <w:rsid w:val="00A306D8"/>
    <w:rsid w:val="00A306FF"/>
    <w:rsid w:val="00A30798"/>
    <w:rsid w:val="00A3080F"/>
    <w:rsid w:val="00A308BA"/>
    <w:rsid w:val="00A30AB6"/>
    <w:rsid w:val="00A30B53"/>
    <w:rsid w:val="00A30B85"/>
    <w:rsid w:val="00A30CCA"/>
    <w:rsid w:val="00A31034"/>
    <w:rsid w:val="00A31095"/>
    <w:rsid w:val="00A3112D"/>
    <w:rsid w:val="00A312B9"/>
    <w:rsid w:val="00A3141B"/>
    <w:rsid w:val="00A31577"/>
    <w:rsid w:val="00A315B5"/>
    <w:rsid w:val="00A31625"/>
    <w:rsid w:val="00A3189C"/>
    <w:rsid w:val="00A31EAC"/>
    <w:rsid w:val="00A31F94"/>
    <w:rsid w:val="00A321B7"/>
    <w:rsid w:val="00A324AD"/>
    <w:rsid w:val="00A324CD"/>
    <w:rsid w:val="00A32607"/>
    <w:rsid w:val="00A326BE"/>
    <w:rsid w:val="00A32808"/>
    <w:rsid w:val="00A32953"/>
    <w:rsid w:val="00A329BD"/>
    <w:rsid w:val="00A329E7"/>
    <w:rsid w:val="00A32C66"/>
    <w:rsid w:val="00A32CAB"/>
    <w:rsid w:val="00A32EDE"/>
    <w:rsid w:val="00A32FB7"/>
    <w:rsid w:val="00A33086"/>
    <w:rsid w:val="00A330CB"/>
    <w:rsid w:val="00A33189"/>
    <w:rsid w:val="00A33244"/>
    <w:rsid w:val="00A33310"/>
    <w:rsid w:val="00A3378F"/>
    <w:rsid w:val="00A33A54"/>
    <w:rsid w:val="00A33A63"/>
    <w:rsid w:val="00A33A66"/>
    <w:rsid w:val="00A33B07"/>
    <w:rsid w:val="00A33B1C"/>
    <w:rsid w:val="00A33F2E"/>
    <w:rsid w:val="00A33F7E"/>
    <w:rsid w:val="00A340D7"/>
    <w:rsid w:val="00A34117"/>
    <w:rsid w:val="00A34128"/>
    <w:rsid w:val="00A34156"/>
    <w:rsid w:val="00A34302"/>
    <w:rsid w:val="00A343B8"/>
    <w:rsid w:val="00A3453D"/>
    <w:rsid w:val="00A345D3"/>
    <w:rsid w:val="00A3471E"/>
    <w:rsid w:val="00A34869"/>
    <w:rsid w:val="00A3489D"/>
    <w:rsid w:val="00A34921"/>
    <w:rsid w:val="00A349EC"/>
    <w:rsid w:val="00A34A68"/>
    <w:rsid w:val="00A34B50"/>
    <w:rsid w:val="00A34B89"/>
    <w:rsid w:val="00A34B8A"/>
    <w:rsid w:val="00A34BEE"/>
    <w:rsid w:val="00A34C38"/>
    <w:rsid w:val="00A34D7B"/>
    <w:rsid w:val="00A34EDE"/>
    <w:rsid w:val="00A34FEA"/>
    <w:rsid w:val="00A3504D"/>
    <w:rsid w:val="00A351D1"/>
    <w:rsid w:val="00A353AB"/>
    <w:rsid w:val="00A35489"/>
    <w:rsid w:val="00A355D0"/>
    <w:rsid w:val="00A355F7"/>
    <w:rsid w:val="00A356D2"/>
    <w:rsid w:val="00A3586B"/>
    <w:rsid w:val="00A3598B"/>
    <w:rsid w:val="00A35A23"/>
    <w:rsid w:val="00A35A89"/>
    <w:rsid w:val="00A35AA4"/>
    <w:rsid w:val="00A35B9C"/>
    <w:rsid w:val="00A35BBB"/>
    <w:rsid w:val="00A35D39"/>
    <w:rsid w:val="00A35E58"/>
    <w:rsid w:val="00A35EE9"/>
    <w:rsid w:val="00A35F0C"/>
    <w:rsid w:val="00A35F22"/>
    <w:rsid w:val="00A35F4A"/>
    <w:rsid w:val="00A35FB8"/>
    <w:rsid w:val="00A35FC0"/>
    <w:rsid w:val="00A360C3"/>
    <w:rsid w:val="00A361BE"/>
    <w:rsid w:val="00A361FA"/>
    <w:rsid w:val="00A36220"/>
    <w:rsid w:val="00A3644E"/>
    <w:rsid w:val="00A364F8"/>
    <w:rsid w:val="00A36758"/>
    <w:rsid w:val="00A36794"/>
    <w:rsid w:val="00A367A0"/>
    <w:rsid w:val="00A36808"/>
    <w:rsid w:val="00A36955"/>
    <w:rsid w:val="00A369D6"/>
    <w:rsid w:val="00A369E8"/>
    <w:rsid w:val="00A36BDC"/>
    <w:rsid w:val="00A36CB9"/>
    <w:rsid w:val="00A36CE3"/>
    <w:rsid w:val="00A36EA2"/>
    <w:rsid w:val="00A36EEB"/>
    <w:rsid w:val="00A36F67"/>
    <w:rsid w:val="00A37037"/>
    <w:rsid w:val="00A3717D"/>
    <w:rsid w:val="00A371DF"/>
    <w:rsid w:val="00A373FA"/>
    <w:rsid w:val="00A37476"/>
    <w:rsid w:val="00A3749B"/>
    <w:rsid w:val="00A37609"/>
    <w:rsid w:val="00A3761A"/>
    <w:rsid w:val="00A37661"/>
    <w:rsid w:val="00A37692"/>
    <w:rsid w:val="00A377A2"/>
    <w:rsid w:val="00A377BB"/>
    <w:rsid w:val="00A37908"/>
    <w:rsid w:val="00A3791C"/>
    <w:rsid w:val="00A379EC"/>
    <w:rsid w:val="00A37A0A"/>
    <w:rsid w:val="00A37A39"/>
    <w:rsid w:val="00A37BCC"/>
    <w:rsid w:val="00A37CFD"/>
    <w:rsid w:val="00A37D05"/>
    <w:rsid w:val="00A37D87"/>
    <w:rsid w:val="00A37D92"/>
    <w:rsid w:val="00A37DC7"/>
    <w:rsid w:val="00A37EC9"/>
    <w:rsid w:val="00A37FC4"/>
    <w:rsid w:val="00A37FFA"/>
    <w:rsid w:val="00A40029"/>
    <w:rsid w:val="00A40247"/>
    <w:rsid w:val="00A40424"/>
    <w:rsid w:val="00A40998"/>
    <w:rsid w:val="00A40BD5"/>
    <w:rsid w:val="00A40E76"/>
    <w:rsid w:val="00A40EB5"/>
    <w:rsid w:val="00A40F65"/>
    <w:rsid w:val="00A4116B"/>
    <w:rsid w:val="00A411A2"/>
    <w:rsid w:val="00A4136A"/>
    <w:rsid w:val="00A41398"/>
    <w:rsid w:val="00A41441"/>
    <w:rsid w:val="00A41452"/>
    <w:rsid w:val="00A41495"/>
    <w:rsid w:val="00A414D0"/>
    <w:rsid w:val="00A41658"/>
    <w:rsid w:val="00A416AC"/>
    <w:rsid w:val="00A417FF"/>
    <w:rsid w:val="00A41914"/>
    <w:rsid w:val="00A41CCF"/>
    <w:rsid w:val="00A41D32"/>
    <w:rsid w:val="00A41D96"/>
    <w:rsid w:val="00A41DC0"/>
    <w:rsid w:val="00A41E0E"/>
    <w:rsid w:val="00A41FC2"/>
    <w:rsid w:val="00A4210F"/>
    <w:rsid w:val="00A42129"/>
    <w:rsid w:val="00A422D0"/>
    <w:rsid w:val="00A423EE"/>
    <w:rsid w:val="00A42425"/>
    <w:rsid w:val="00A424A4"/>
    <w:rsid w:val="00A424DB"/>
    <w:rsid w:val="00A4265F"/>
    <w:rsid w:val="00A4267D"/>
    <w:rsid w:val="00A42994"/>
    <w:rsid w:val="00A42AD7"/>
    <w:rsid w:val="00A42AE9"/>
    <w:rsid w:val="00A42AFC"/>
    <w:rsid w:val="00A42BB9"/>
    <w:rsid w:val="00A42D7F"/>
    <w:rsid w:val="00A42DDC"/>
    <w:rsid w:val="00A42DFB"/>
    <w:rsid w:val="00A43056"/>
    <w:rsid w:val="00A430DE"/>
    <w:rsid w:val="00A432F4"/>
    <w:rsid w:val="00A433CB"/>
    <w:rsid w:val="00A43566"/>
    <w:rsid w:val="00A43619"/>
    <w:rsid w:val="00A43673"/>
    <w:rsid w:val="00A43781"/>
    <w:rsid w:val="00A437E1"/>
    <w:rsid w:val="00A43918"/>
    <w:rsid w:val="00A439E0"/>
    <w:rsid w:val="00A43B05"/>
    <w:rsid w:val="00A43D7C"/>
    <w:rsid w:val="00A43DA8"/>
    <w:rsid w:val="00A43E7D"/>
    <w:rsid w:val="00A43EB1"/>
    <w:rsid w:val="00A43F6F"/>
    <w:rsid w:val="00A44028"/>
    <w:rsid w:val="00A4448D"/>
    <w:rsid w:val="00A444EE"/>
    <w:rsid w:val="00A446BC"/>
    <w:rsid w:val="00A44826"/>
    <w:rsid w:val="00A44899"/>
    <w:rsid w:val="00A44939"/>
    <w:rsid w:val="00A449E2"/>
    <w:rsid w:val="00A44B58"/>
    <w:rsid w:val="00A44BDE"/>
    <w:rsid w:val="00A44DD0"/>
    <w:rsid w:val="00A4501E"/>
    <w:rsid w:val="00A451D2"/>
    <w:rsid w:val="00A45249"/>
    <w:rsid w:val="00A45296"/>
    <w:rsid w:val="00A4532E"/>
    <w:rsid w:val="00A453E2"/>
    <w:rsid w:val="00A454C8"/>
    <w:rsid w:val="00A454DF"/>
    <w:rsid w:val="00A454EC"/>
    <w:rsid w:val="00A457E4"/>
    <w:rsid w:val="00A4593D"/>
    <w:rsid w:val="00A45973"/>
    <w:rsid w:val="00A45BB9"/>
    <w:rsid w:val="00A45D06"/>
    <w:rsid w:val="00A460A2"/>
    <w:rsid w:val="00A460E6"/>
    <w:rsid w:val="00A460F3"/>
    <w:rsid w:val="00A46146"/>
    <w:rsid w:val="00A461B4"/>
    <w:rsid w:val="00A461EC"/>
    <w:rsid w:val="00A4635D"/>
    <w:rsid w:val="00A46380"/>
    <w:rsid w:val="00A46545"/>
    <w:rsid w:val="00A465F6"/>
    <w:rsid w:val="00A46658"/>
    <w:rsid w:val="00A467CA"/>
    <w:rsid w:val="00A469A0"/>
    <w:rsid w:val="00A469B9"/>
    <w:rsid w:val="00A46A57"/>
    <w:rsid w:val="00A46E39"/>
    <w:rsid w:val="00A46E4E"/>
    <w:rsid w:val="00A46E87"/>
    <w:rsid w:val="00A46EB5"/>
    <w:rsid w:val="00A46ED0"/>
    <w:rsid w:val="00A46F01"/>
    <w:rsid w:val="00A46F7E"/>
    <w:rsid w:val="00A46FFD"/>
    <w:rsid w:val="00A4709D"/>
    <w:rsid w:val="00A47192"/>
    <w:rsid w:val="00A4735D"/>
    <w:rsid w:val="00A47538"/>
    <w:rsid w:val="00A475F9"/>
    <w:rsid w:val="00A47600"/>
    <w:rsid w:val="00A4779A"/>
    <w:rsid w:val="00A477B7"/>
    <w:rsid w:val="00A47960"/>
    <w:rsid w:val="00A47A1D"/>
    <w:rsid w:val="00A47A3F"/>
    <w:rsid w:val="00A47A90"/>
    <w:rsid w:val="00A47B82"/>
    <w:rsid w:val="00A47ECA"/>
    <w:rsid w:val="00A47F20"/>
    <w:rsid w:val="00A47F23"/>
    <w:rsid w:val="00A47F97"/>
    <w:rsid w:val="00A47FCA"/>
    <w:rsid w:val="00A5000A"/>
    <w:rsid w:val="00A500F1"/>
    <w:rsid w:val="00A5031E"/>
    <w:rsid w:val="00A5031F"/>
    <w:rsid w:val="00A5042D"/>
    <w:rsid w:val="00A50623"/>
    <w:rsid w:val="00A50658"/>
    <w:rsid w:val="00A507F7"/>
    <w:rsid w:val="00A50857"/>
    <w:rsid w:val="00A508DD"/>
    <w:rsid w:val="00A50939"/>
    <w:rsid w:val="00A509C7"/>
    <w:rsid w:val="00A50B72"/>
    <w:rsid w:val="00A50D88"/>
    <w:rsid w:val="00A50F60"/>
    <w:rsid w:val="00A51065"/>
    <w:rsid w:val="00A51120"/>
    <w:rsid w:val="00A5113D"/>
    <w:rsid w:val="00A5115E"/>
    <w:rsid w:val="00A511EC"/>
    <w:rsid w:val="00A511FE"/>
    <w:rsid w:val="00A51291"/>
    <w:rsid w:val="00A51342"/>
    <w:rsid w:val="00A513D4"/>
    <w:rsid w:val="00A51499"/>
    <w:rsid w:val="00A51558"/>
    <w:rsid w:val="00A516A3"/>
    <w:rsid w:val="00A51709"/>
    <w:rsid w:val="00A517BF"/>
    <w:rsid w:val="00A51802"/>
    <w:rsid w:val="00A5181F"/>
    <w:rsid w:val="00A518B4"/>
    <w:rsid w:val="00A51BDF"/>
    <w:rsid w:val="00A51C76"/>
    <w:rsid w:val="00A51D0A"/>
    <w:rsid w:val="00A51E4D"/>
    <w:rsid w:val="00A51EF1"/>
    <w:rsid w:val="00A51F11"/>
    <w:rsid w:val="00A52010"/>
    <w:rsid w:val="00A52176"/>
    <w:rsid w:val="00A5223B"/>
    <w:rsid w:val="00A52287"/>
    <w:rsid w:val="00A523D1"/>
    <w:rsid w:val="00A5247A"/>
    <w:rsid w:val="00A526E8"/>
    <w:rsid w:val="00A52715"/>
    <w:rsid w:val="00A52747"/>
    <w:rsid w:val="00A527C9"/>
    <w:rsid w:val="00A5298A"/>
    <w:rsid w:val="00A52A56"/>
    <w:rsid w:val="00A52AFC"/>
    <w:rsid w:val="00A52B47"/>
    <w:rsid w:val="00A52BA6"/>
    <w:rsid w:val="00A52C07"/>
    <w:rsid w:val="00A52D1A"/>
    <w:rsid w:val="00A52F05"/>
    <w:rsid w:val="00A53026"/>
    <w:rsid w:val="00A53067"/>
    <w:rsid w:val="00A530CD"/>
    <w:rsid w:val="00A533D3"/>
    <w:rsid w:val="00A5342C"/>
    <w:rsid w:val="00A5355C"/>
    <w:rsid w:val="00A535D4"/>
    <w:rsid w:val="00A53972"/>
    <w:rsid w:val="00A53AB3"/>
    <w:rsid w:val="00A53BF2"/>
    <w:rsid w:val="00A53C55"/>
    <w:rsid w:val="00A53C9D"/>
    <w:rsid w:val="00A53CBC"/>
    <w:rsid w:val="00A53ECF"/>
    <w:rsid w:val="00A54042"/>
    <w:rsid w:val="00A54055"/>
    <w:rsid w:val="00A54111"/>
    <w:rsid w:val="00A54178"/>
    <w:rsid w:val="00A54190"/>
    <w:rsid w:val="00A542A4"/>
    <w:rsid w:val="00A542AD"/>
    <w:rsid w:val="00A542B1"/>
    <w:rsid w:val="00A54566"/>
    <w:rsid w:val="00A54654"/>
    <w:rsid w:val="00A54666"/>
    <w:rsid w:val="00A547BD"/>
    <w:rsid w:val="00A549E8"/>
    <w:rsid w:val="00A54A32"/>
    <w:rsid w:val="00A54A72"/>
    <w:rsid w:val="00A54C20"/>
    <w:rsid w:val="00A54C23"/>
    <w:rsid w:val="00A54C2D"/>
    <w:rsid w:val="00A54F08"/>
    <w:rsid w:val="00A54F2C"/>
    <w:rsid w:val="00A54F4D"/>
    <w:rsid w:val="00A55056"/>
    <w:rsid w:val="00A5524D"/>
    <w:rsid w:val="00A555C5"/>
    <w:rsid w:val="00A5561C"/>
    <w:rsid w:val="00A55629"/>
    <w:rsid w:val="00A55692"/>
    <w:rsid w:val="00A556AA"/>
    <w:rsid w:val="00A55707"/>
    <w:rsid w:val="00A55895"/>
    <w:rsid w:val="00A558F3"/>
    <w:rsid w:val="00A55902"/>
    <w:rsid w:val="00A55915"/>
    <w:rsid w:val="00A55954"/>
    <w:rsid w:val="00A55A35"/>
    <w:rsid w:val="00A55A40"/>
    <w:rsid w:val="00A55A46"/>
    <w:rsid w:val="00A55B3C"/>
    <w:rsid w:val="00A55C01"/>
    <w:rsid w:val="00A55D44"/>
    <w:rsid w:val="00A55DAC"/>
    <w:rsid w:val="00A55E66"/>
    <w:rsid w:val="00A55EC9"/>
    <w:rsid w:val="00A56318"/>
    <w:rsid w:val="00A5643D"/>
    <w:rsid w:val="00A56533"/>
    <w:rsid w:val="00A5672C"/>
    <w:rsid w:val="00A5685F"/>
    <w:rsid w:val="00A56923"/>
    <w:rsid w:val="00A56A72"/>
    <w:rsid w:val="00A56AED"/>
    <w:rsid w:val="00A56C80"/>
    <w:rsid w:val="00A56D18"/>
    <w:rsid w:val="00A56F41"/>
    <w:rsid w:val="00A57035"/>
    <w:rsid w:val="00A570D0"/>
    <w:rsid w:val="00A5711E"/>
    <w:rsid w:val="00A57156"/>
    <w:rsid w:val="00A57225"/>
    <w:rsid w:val="00A5726A"/>
    <w:rsid w:val="00A57279"/>
    <w:rsid w:val="00A57390"/>
    <w:rsid w:val="00A573ED"/>
    <w:rsid w:val="00A575D3"/>
    <w:rsid w:val="00A576DF"/>
    <w:rsid w:val="00A577B2"/>
    <w:rsid w:val="00A577C8"/>
    <w:rsid w:val="00A5789D"/>
    <w:rsid w:val="00A5790A"/>
    <w:rsid w:val="00A57BD2"/>
    <w:rsid w:val="00A57EF6"/>
    <w:rsid w:val="00A57F12"/>
    <w:rsid w:val="00A57F60"/>
    <w:rsid w:val="00A57F6C"/>
    <w:rsid w:val="00A60105"/>
    <w:rsid w:val="00A6018A"/>
    <w:rsid w:val="00A601FA"/>
    <w:rsid w:val="00A6023D"/>
    <w:rsid w:val="00A60309"/>
    <w:rsid w:val="00A60355"/>
    <w:rsid w:val="00A603B3"/>
    <w:rsid w:val="00A60430"/>
    <w:rsid w:val="00A60687"/>
    <w:rsid w:val="00A608A2"/>
    <w:rsid w:val="00A608BF"/>
    <w:rsid w:val="00A6093F"/>
    <w:rsid w:val="00A60A12"/>
    <w:rsid w:val="00A60B4C"/>
    <w:rsid w:val="00A60C01"/>
    <w:rsid w:val="00A60CB8"/>
    <w:rsid w:val="00A60DAD"/>
    <w:rsid w:val="00A60E20"/>
    <w:rsid w:val="00A60F30"/>
    <w:rsid w:val="00A61246"/>
    <w:rsid w:val="00A61260"/>
    <w:rsid w:val="00A61293"/>
    <w:rsid w:val="00A612E0"/>
    <w:rsid w:val="00A613F1"/>
    <w:rsid w:val="00A613F8"/>
    <w:rsid w:val="00A614E3"/>
    <w:rsid w:val="00A61670"/>
    <w:rsid w:val="00A61676"/>
    <w:rsid w:val="00A61772"/>
    <w:rsid w:val="00A619F2"/>
    <w:rsid w:val="00A61B41"/>
    <w:rsid w:val="00A61D1E"/>
    <w:rsid w:val="00A61FF5"/>
    <w:rsid w:val="00A62015"/>
    <w:rsid w:val="00A62038"/>
    <w:rsid w:val="00A62061"/>
    <w:rsid w:val="00A6209D"/>
    <w:rsid w:val="00A622D4"/>
    <w:rsid w:val="00A623BA"/>
    <w:rsid w:val="00A62440"/>
    <w:rsid w:val="00A625FF"/>
    <w:rsid w:val="00A6276A"/>
    <w:rsid w:val="00A6276B"/>
    <w:rsid w:val="00A6278B"/>
    <w:rsid w:val="00A627C8"/>
    <w:rsid w:val="00A627DF"/>
    <w:rsid w:val="00A62848"/>
    <w:rsid w:val="00A62941"/>
    <w:rsid w:val="00A62AD6"/>
    <w:rsid w:val="00A62B11"/>
    <w:rsid w:val="00A62B5F"/>
    <w:rsid w:val="00A62C91"/>
    <w:rsid w:val="00A62E42"/>
    <w:rsid w:val="00A62F9C"/>
    <w:rsid w:val="00A6305A"/>
    <w:rsid w:val="00A63193"/>
    <w:rsid w:val="00A631DE"/>
    <w:rsid w:val="00A63223"/>
    <w:rsid w:val="00A63272"/>
    <w:rsid w:val="00A6328E"/>
    <w:rsid w:val="00A632F2"/>
    <w:rsid w:val="00A6358B"/>
    <w:rsid w:val="00A636A0"/>
    <w:rsid w:val="00A63859"/>
    <w:rsid w:val="00A638FB"/>
    <w:rsid w:val="00A63905"/>
    <w:rsid w:val="00A63CD0"/>
    <w:rsid w:val="00A63CEB"/>
    <w:rsid w:val="00A63D55"/>
    <w:rsid w:val="00A63D83"/>
    <w:rsid w:val="00A63EA8"/>
    <w:rsid w:val="00A63FA7"/>
    <w:rsid w:val="00A641A0"/>
    <w:rsid w:val="00A641F5"/>
    <w:rsid w:val="00A642C0"/>
    <w:rsid w:val="00A642E9"/>
    <w:rsid w:val="00A6434C"/>
    <w:rsid w:val="00A643FB"/>
    <w:rsid w:val="00A64467"/>
    <w:rsid w:val="00A64507"/>
    <w:rsid w:val="00A64517"/>
    <w:rsid w:val="00A64596"/>
    <w:rsid w:val="00A645F2"/>
    <w:rsid w:val="00A64670"/>
    <w:rsid w:val="00A646BC"/>
    <w:rsid w:val="00A6470F"/>
    <w:rsid w:val="00A6472F"/>
    <w:rsid w:val="00A6476D"/>
    <w:rsid w:val="00A647B9"/>
    <w:rsid w:val="00A64864"/>
    <w:rsid w:val="00A64931"/>
    <w:rsid w:val="00A6495E"/>
    <w:rsid w:val="00A64973"/>
    <w:rsid w:val="00A6499A"/>
    <w:rsid w:val="00A64A71"/>
    <w:rsid w:val="00A64C96"/>
    <w:rsid w:val="00A64FEE"/>
    <w:rsid w:val="00A65081"/>
    <w:rsid w:val="00A653F6"/>
    <w:rsid w:val="00A653FE"/>
    <w:rsid w:val="00A65557"/>
    <w:rsid w:val="00A6579D"/>
    <w:rsid w:val="00A65A81"/>
    <w:rsid w:val="00A65AB2"/>
    <w:rsid w:val="00A65AD0"/>
    <w:rsid w:val="00A65B63"/>
    <w:rsid w:val="00A65E5C"/>
    <w:rsid w:val="00A65FEB"/>
    <w:rsid w:val="00A660E2"/>
    <w:rsid w:val="00A66233"/>
    <w:rsid w:val="00A662C7"/>
    <w:rsid w:val="00A662E0"/>
    <w:rsid w:val="00A665A5"/>
    <w:rsid w:val="00A665CB"/>
    <w:rsid w:val="00A666A8"/>
    <w:rsid w:val="00A66890"/>
    <w:rsid w:val="00A66910"/>
    <w:rsid w:val="00A66911"/>
    <w:rsid w:val="00A669E8"/>
    <w:rsid w:val="00A66ABA"/>
    <w:rsid w:val="00A66C65"/>
    <w:rsid w:val="00A6704D"/>
    <w:rsid w:val="00A67128"/>
    <w:rsid w:val="00A67169"/>
    <w:rsid w:val="00A671A1"/>
    <w:rsid w:val="00A67223"/>
    <w:rsid w:val="00A674E4"/>
    <w:rsid w:val="00A6753F"/>
    <w:rsid w:val="00A676F9"/>
    <w:rsid w:val="00A67703"/>
    <w:rsid w:val="00A6796D"/>
    <w:rsid w:val="00A67AE9"/>
    <w:rsid w:val="00A67BB1"/>
    <w:rsid w:val="00A67D98"/>
    <w:rsid w:val="00A67E42"/>
    <w:rsid w:val="00A70011"/>
    <w:rsid w:val="00A701B1"/>
    <w:rsid w:val="00A70210"/>
    <w:rsid w:val="00A70234"/>
    <w:rsid w:val="00A70389"/>
    <w:rsid w:val="00A70448"/>
    <w:rsid w:val="00A70451"/>
    <w:rsid w:val="00A70755"/>
    <w:rsid w:val="00A707B8"/>
    <w:rsid w:val="00A70960"/>
    <w:rsid w:val="00A70A81"/>
    <w:rsid w:val="00A70A97"/>
    <w:rsid w:val="00A70B39"/>
    <w:rsid w:val="00A70B94"/>
    <w:rsid w:val="00A70BFF"/>
    <w:rsid w:val="00A70C73"/>
    <w:rsid w:val="00A70CF6"/>
    <w:rsid w:val="00A70E0A"/>
    <w:rsid w:val="00A70EE4"/>
    <w:rsid w:val="00A70F2D"/>
    <w:rsid w:val="00A70FDF"/>
    <w:rsid w:val="00A70FFF"/>
    <w:rsid w:val="00A710CB"/>
    <w:rsid w:val="00A711A2"/>
    <w:rsid w:val="00A711C2"/>
    <w:rsid w:val="00A71264"/>
    <w:rsid w:val="00A7133E"/>
    <w:rsid w:val="00A7147D"/>
    <w:rsid w:val="00A714D0"/>
    <w:rsid w:val="00A7172B"/>
    <w:rsid w:val="00A718BD"/>
    <w:rsid w:val="00A718F5"/>
    <w:rsid w:val="00A71967"/>
    <w:rsid w:val="00A71A05"/>
    <w:rsid w:val="00A71A1A"/>
    <w:rsid w:val="00A71C2A"/>
    <w:rsid w:val="00A71C36"/>
    <w:rsid w:val="00A71EA1"/>
    <w:rsid w:val="00A71EC0"/>
    <w:rsid w:val="00A71EC2"/>
    <w:rsid w:val="00A71F1A"/>
    <w:rsid w:val="00A71F46"/>
    <w:rsid w:val="00A720BB"/>
    <w:rsid w:val="00A721D1"/>
    <w:rsid w:val="00A721D4"/>
    <w:rsid w:val="00A72203"/>
    <w:rsid w:val="00A7236C"/>
    <w:rsid w:val="00A723C3"/>
    <w:rsid w:val="00A72415"/>
    <w:rsid w:val="00A7251E"/>
    <w:rsid w:val="00A725A8"/>
    <w:rsid w:val="00A72659"/>
    <w:rsid w:val="00A7267A"/>
    <w:rsid w:val="00A726FE"/>
    <w:rsid w:val="00A72735"/>
    <w:rsid w:val="00A727C2"/>
    <w:rsid w:val="00A72960"/>
    <w:rsid w:val="00A72978"/>
    <w:rsid w:val="00A729E4"/>
    <w:rsid w:val="00A72B14"/>
    <w:rsid w:val="00A72BD4"/>
    <w:rsid w:val="00A72C14"/>
    <w:rsid w:val="00A72D24"/>
    <w:rsid w:val="00A72D8F"/>
    <w:rsid w:val="00A73158"/>
    <w:rsid w:val="00A73261"/>
    <w:rsid w:val="00A73287"/>
    <w:rsid w:val="00A73456"/>
    <w:rsid w:val="00A7346F"/>
    <w:rsid w:val="00A7375C"/>
    <w:rsid w:val="00A738B9"/>
    <w:rsid w:val="00A738CE"/>
    <w:rsid w:val="00A739AC"/>
    <w:rsid w:val="00A73A38"/>
    <w:rsid w:val="00A73A5E"/>
    <w:rsid w:val="00A73B2D"/>
    <w:rsid w:val="00A73CF2"/>
    <w:rsid w:val="00A73D2E"/>
    <w:rsid w:val="00A73D83"/>
    <w:rsid w:val="00A74011"/>
    <w:rsid w:val="00A74189"/>
    <w:rsid w:val="00A74204"/>
    <w:rsid w:val="00A7420E"/>
    <w:rsid w:val="00A742CB"/>
    <w:rsid w:val="00A74815"/>
    <w:rsid w:val="00A74862"/>
    <w:rsid w:val="00A748F3"/>
    <w:rsid w:val="00A74A49"/>
    <w:rsid w:val="00A74A9A"/>
    <w:rsid w:val="00A74CAF"/>
    <w:rsid w:val="00A74CB1"/>
    <w:rsid w:val="00A74CF6"/>
    <w:rsid w:val="00A74E12"/>
    <w:rsid w:val="00A74F0D"/>
    <w:rsid w:val="00A74F4B"/>
    <w:rsid w:val="00A74FCB"/>
    <w:rsid w:val="00A750AA"/>
    <w:rsid w:val="00A7510B"/>
    <w:rsid w:val="00A7527E"/>
    <w:rsid w:val="00A75354"/>
    <w:rsid w:val="00A75379"/>
    <w:rsid w:val="00A75457"/>
    <w:rsid w:val="00A754FF"/>
    <w:rsid w:val="00A75509"/>
    <w:rsid w:val="00A75675"/>
    <w:rsid w:val="00A75791"/>
    <w:rsid w:val="00A7581B"/>
    <w:rsid w:val="00A758E8"/>
    <w:rsid w:val="00A75A0A"/>
    <w:rsid w:val="00A75AFA"/>
    <w:rsid w:val="00A75BBB"/>
    <w:rsid w:val="00A75C79"/>
    <w:rsid w:val="00A75C87"/>
    <w:rsid w:val="00A75CF4"/>
    <w:rsid w:val="00A75D68"/>
    <w:rsid w:val="00A75E51"/>
    <w:rsid w:val="00A75FB5"/>
    <w:rsid w:val="00A75FFA"/>
    <w:rsid w:val="00A7601C"/>
    <w:rsid w:val="00A762A9"/>
    <w:rsid w:val="00A762AF"/>
    <w:rsid w:val="00A76330"/>
    <w:rsid w:val="00A765C8"/>
    <w:rsid w:val="00A766EC"/>
    <w:rsid w:val="00A76839"/>
    <w:rsid w:val="00A76901"/>
    <w:rsid w:val="00A76AFB"/>
    <w:rsid w:val="00A76BD0"/>
    <w:rsid w:val="00A76DF7"/>
    <w:rsid w:val="00A771AC"/>
    <w:rsid w:val="00A77308"/>
    <w:rsid w:val="00A77364"/>
    <w:rsid w:val="00A773B4"/>
    <w:rsid w:val="00A77424"/>
    <w:rsid w:val="00A77436"/>
    <w:rsid w:val="00A774A5"/>
    <w:rsid w:val="00A77512"/>
    <w:rsid w:val="00A7771E"/>
    <w:rsid w:val="00A77790"/>
    <w:rsid w:val="00A778B8"/>
    <w:rsid w:val="00A7797C"/>
    <w:rsid w:val="00A77A33"/>
    <w:rsid w:val="00A77A7A"/>
    <w:rsid w:val="00A77A9E"/>
    <w:rsid w:val="00A77DE5"/>
    <w:rsid w:val="00A80118"/>
    <w:rsid w:val="00A801FB"/>
    <w:rsid w:val="00A8025A"/>
    <w:rsid w:val="00A804EE"/>
    <w:rsid w:val="00A8065D"/>
    <w:rsid w:val="00A806B0"/>
    <w:rsid w:val="00A80838"/>
    <w:rsid w:val="00A80892"/>
    <w:rsid w:val="00A80983"/>
    <w:rsid w:val="00A80AFC"/>
    <w:rsid w:val="00A80DB1"/>
    <w:rsid w:val="00A80E84"/>
    <w:rsid w:val="00A80EA8"/>
    <w:rsid w:val="00A81023"/>
    <w:rsid w:val="00A8106D"/>
    <w:rsid w:val="00A8108C"/>
    <w:rsid w:val="00A8113D"/>
    <w:rsid w:val="00A81187"/>
    <w:rsid w:val="00A8120A"/>
    <w:rsid w:val="00A8125B"/>
    <w:rsid w:val="00A8159A"/>
    <w:rsid w:val="00A81780"/>
    <w:rsid w:val="00A817E1"/>
    <w:rsid w:val="00A81896"/>
    <w:rsid w:val="00A818D3"/>
    <w:rsid w:val="00A819AD"/>
    <w:rsid w:val="00A819FF"/>
    <w:rsid w:val="00A81ADD"/>
    <w:rsid w:val="00A81B04"/>
    <w:rsid w:val="00A81BEF"/>
    <w:rsid w:val="00A81DBE"/>
    <w:rsid w:val="00A81DC2"/>
    <w:rsid w:val="00A81DF1"/>
    <w:rsid w:val="00A81E2F"/>
    <w:rsid w:val="00A82335"/>
    <w:rsid w:val="00A82356"/>
    <w:rsid w:val="00A82591"/>
    <w:rsid w:val="00A8266C"/>
    <w:rsid w:val="00A827EF"/>
    <w:rsid w:val="00A82925"/>
    <w:rsid w:val="00A829CC"/>
    <w:rsid w:val="00A82B52"/>
    <w:rsid w:val="00A82C94"/>
    <w:rsid w:val="00A82D27"/>
    <w:rsid w:val="00A82F52"/>
    <w:rsid w:val="00A82F67"/>
    <w:rsid w:val="00A830D8"/>
    <w:rsid w:val="00A831CA"/>
    <w:rsid w:val="00A8321B"/>
    <w:rsid w:val="00A8345C"/>
    <w:rsid w:val="00A83648"/>
    <w:rsid w:val="00A83A17"/>
    <w:rsid w:val="00A83AD2"/>
    <w:rsid w:val="00A83ADC"/>
    <w:rsid w:val="00A83AF1"/>
    <w:rsid w:val="00A83B7C"/>
    <w:rsid w:val="00A83D18"/>
    <w:rsid w:val="00A83D46"/>
    <w:rsid w:val="00A83E5E"/>
    <w:rsid w:val="00A840CB"/>
    <w:rsid w:val="00A84108"/>
    <w:rsid w:val="00A841CC"/>
    <w:rsid w:val="00A8422C"/>
    <w:rsid w:val="00A843E0"/>
    <w:rsid w:val="00A84414"/>
    <w:rsid w:val="00A84582"/>
    <w:rsid w:val="00A8460D"/>
    <w:rsid w:val="00A84706"/>
    <w:rsid w:val="00A84AB1"/>
    <w:rsid w:val="00A84B2B"/>
    <w:rsid w:val="00A84B65"/>
    <w:rsid w:val="00A84D0A"/>
    <w:rsid w:val="00A84D18"/>
    <w:rsid w:val="00A84D4A"/>
    <w:rsid w:val="00A851BB"/>
    <w:rsid w:val="00A85248"/>
    <w:rsid w:val="00A85476"/>
    <w:rsid w:val="00A85528"/>
    <w:rsid w:val="00A85704"/>
    <w:rsid w:val="00A8570B"/>
    <w:rsid w:val="00A859F8"/>
    <w:rsid w:val="00A85A73"/>
    <w:rsid w:val="00A85C33"/>
    <w:rsid w:val="00A85E8A"/>
    <w:rsid w:val="00A85EE0"/>
    <w:rsid w:val="00A85F3E"/>
    <w:rsid w:val="00A85FF6"/>
    <w:rsid w:val="00A86004"/>
    <w:rsid w:val="00A861CD"/>
    <w:rsid w:val="00A861CE"/>
    <w:rsid w:val="00A864AD"/>
    <w:rsid w:val="00A86505"/>
    <w:rsid w:val="00A86600"/>
    <w:rsid w:val="00A86644"/>
    <w:rsid w:val="00A86876"/>
    <w:rsid w:val="00A8688F"/>
    <w:rsid w:val="00A868FB"/>
    <w:rsid w:val="00A86931"/>
    <w:rsid w:val="00A86A34"/>
    <w:rsid w:val="00A86CEC"/>
    <w:rsid w:val="00A86D5B"/>
    <w:rsid w:val="00A86DCC"/>
    <w:rsid w:val="00A86DE4"/>
    <w:rsid w:val="00A86ED4"/>
    <w:rsid w:val="00A87061"/>
    <w:rsid w:val="00A8714C"/>
    <w:rsid w:val="00A87191"/>
    <w:rsid w:val="00A8741F"/>
    <w:rsid w:val="00A8744D"/>
    <w:rsid w:val="00A87452"/>
    <w:rsid w:val="00A87456"/>
    <w:rsid w:val="00A8754E"/>
    <w:rsid w:val="00A8759B"/>
    <w:rsid w:val="00A877BE"/>
    <w:rsid w:val="00A87810"/>
    <w:rsid w:val="00A8794E"/>
    <w:rsid w:val="00A87AC9"/>
    <w:rsid w:val="00A87B86"/>
    <w:rsid w:val="00A87BC6"/>
    <w:rsid w:val="00A87D8F"/>
    <w:rsid w:val="00A87E96"/>
    <w:rsid w:val="00A87EDE"/>
    <w:rsid w:val="00A87FCD"/>
    <w:rsid w:val="00A87FED"/>
    <w:rsid w:val="00A901D6"/>
    <w:rsid w:val="00A90345"/>
    <w:rsid w:val="00A90382"/>
    <w:rsid w:val="00A903AF"/>
    <w:rsid w:val="00A903D7"/>
    <w:rsid w:val="00A90443"/>
    <w:rsid w:val="00A9046F"/>
    <w:rsid w:val="00A9063B"/>
    <w:rsid w:val="00A90677"/>
    <w:rsid w:val="00A9084C"/>
    <w:rsid w:val="00A90AE0"/>
    <w:rsid w:val="00A91068"/>
    <w:rsid w:val="00A91085"/>
    <w:rsid w:val="00A911FB"/>
    <w:rsid w:val="00A91437"/>
    <w:rsid w:val="00A914FD"/>
    <w:rsid w:val="00A91632"/>
    <w:rsid w:val="00A91839"/>
    <w:rsid w:val="00A91953"/>
    <w:rsid w:val="00A91954"/>
    <w:rsid w:val="00A91968"/>
    <w:rsid w:val="00A91A2F"/>
    <w:rsid w:val="00A91BDD"/>
    <w:rsid w:val="00A91CBD"/>
    <w:rsid w:val="00A91CF9"/>
    <w:rsid w:val="00A91D2C"/>
    <w:rsid w:val="00A91D75"/>
    <w:rsid w:val="00A91F27"/>
    <w:rsid w:val="00A91FAF"/>
    <w:rsid w:val="00A92065"/>
    <w:rsid w:val="00A924A1"/>
    <w:rsid w:val="00A9255A"/>
    <w:rsid w:val="00A926BC"/>
    <w:rsid w:val="00A926BD"/>
    <w:rsid w:val="00A926D3"/>
    <w:rsid w:val="00A92814"/>
    <w:rsid w:val="00A92957"/>
    <w:rsid w:val="00A9295B"/>
    <w:rsid w:val="00A92AC9"/>
    <w:rsid w:val="00A92AFF"/>
    <w:rsid w:val="00A92B76"/>
    <w:rsid w:val="00A92BD2"/>
    <w:rsid w:val="00A92CEB"/>
    <w:rsid w:val="00A92DB6"/>
    <w:rsid w:val="00A92DE8"/>
    <w:rsid w:val="00A92F6C"/>
    <w:rsid w:val="00A93039"/>
    <w:rsid w:val="00A93044"/>
    <w:rsid w:val="00A930FC"/>
    <w:rsid w:val="00A93168"/>
    <w:rsid w:val="00A9328D"/>
    <w:rsid w:val="00A9334C"/>
    <w:rsid w:val="00A933C8"/>
    <w:rsid w:val="00A93401"/>
    <w:rsid w:val="00A93435"/>
    <w:rsid w:val="00A935F5"/>
    <w:rsid w:val="00A93750"/>
    <w:rsid w:val="00A93787"/>
    <w:rsid w:val="00A937CE"/>
    <w:rsid w:val="00A93817"/>
    <w:rsid w:val="00A938CC"/>
    <w:rsid w:val="00A9392A"/>
    <w:rsid w:val="00A9399E"/>
    <w:rsid w:val="00A939A9"/>
    <w:rsid w:val="00A939F4"/>
    <w:rsid w:val="00A93C20"/>
    <w:rsid w:val="00A93C29"/>
    <w:rsid w:val="00A93DEE"/>
    <w:rsid w:val="00A93E7E"/>
    <w:rsid w:val="00A93F5B"/>
    <w:rsid w:val="00A9411D"/>
    <w:rsid w:val="00A942C0"/>
    <w:rsid w:val="00A942F4"/>
    <w:rsid w:val="00A946C9"/>
    <w:rsid w:val="00A948C3"/>
    <w:rsid w:val="00A94A58"/>
    <w:rsid w:val="00A94AAC"/>
    <w:rsid w:val="00A94BAF"/>
    <w:rsid w:val="00A94BB3"/>
    <w:rsid w:val="00A94BBF"/>
    <w:rsid w:val="00A94C3F"/>
    <w:rsid w:val="00A94C95"/>
    <w:rsid w:val="00A94CA3"/>
    <w:rsid w:val="00A94DAA"/>
    <w:rsid w:val="00A94DDF"/>
    <w:rsid w:val="00A94DF2"/>
    <w:rsid w:val="00A94ECF"/>
    <w:rsid w:val="00A9519C"/>
    <w:rsid w:val="00A951C2"/>
    <w:rsid w:val="00A95217"/>
    <w:rsid w:val="00A9521C"/>
    <w:rsid w:val="00A9535D"/>
    <w:rsid w:val="00A9554D"/>
    <w:rsid w:val="00A95992"/>
    <w:rsid w:val="00A95B29"/>
    <w:rsid w:val="00A95C4C"/>
    <w:rsid w:val="00A95C6F"/>
    <w:rsid w:val="00A95D59"/>
    <w:rsid w:val="00A95E75"/>
    <w:rsid w:val="00A95E91"/>
    <w:rsid w:val="00A95F33"/>
    <w:rsid w:val="00A95FFA"/>
    <w:rsid w:val="00A9602A"/>
    <w:rsid w:val="00A96110"/>
    <w:rsid w:val="00A961C2"/>
    <w:rsid w:val="00A961D7"/>
    <w:rsid w:val="00A962C0"/>
    <w:rsid w:val="00A9665E"/>
    <w:rsid w:val="00A967D9"/>
    <w:rsid w:val="00A967DF"/>
    <w:rsid w:val="00A96833"/>
    <w:rsid w:val="00A968CF"/>
    <w:rsid w:val="00A968DD"/>
    <w:rsid w:val="00A969B7"/>
    <w:rsid w:val="00A96A90"/>
    <w:rsid w:val="00A96BAE"/>
    <w:rsid w:val="00A96D6F"/>
    <w:rsid w:val="00A96DB3"/>
    <w:rsid w:val="00A96E4C"/>
    <w:rsid w:val="00A96EA8"/>
    <w:rsid w:val="00A96F6C"/>
    <w:rsid w:val="00A96FDA"/>
    <w:rsid w:val="00A9707C"/>
    <w:rsid w:val="00A97105"/>
    <w:rsid w:val="00A97147"/>
    <w:rsid w:val="00A97160"/>
    <w:rsid w:val="00A971B6"/>
    <w:rsid w:val="00A97303"/>
    <w:rsid w:val="00A9734C"/>
    <w:rsid w:val="00A975C8"/>
    <w:rsid w:val="00A977DE"/>
    <w:rsid w:val="00A97BA7"/>
    <w:rsid w:val="00A97C56"/>
    <w:rsid w:val="00A97C57"/>
    <w:rsid w:val="00A97D47"/>
    <w:rsid w:val="00A97DB7"/>
    <w:rsid w:val="00A97DD0"/>
    <w:rsid w:val="00A97EDE"/>
    <w:rsid w:val="00AA0049"/>
    <w:rsid w:val="00AA0116"/>
    <w:rsid w:val="00AA01CC"/>
    <w:rsid w:val="00AA02DE"/>
    <w:rsid w:val="00AA037F"/>
    <w:rsid w:val="00AA03AA"/>
    <w:rsid w:val="00AA03F6"/>
    <w:rsid w:val="00AA048D"/>
    <w:rsid w:val="00AA0511"/>
    <w:rsid w:val="00AA0562"/>
    <w:rsid w:val="00AA0583"/>
    <w:rsid w:val="00AA07F8"/>
    <w:rsid w:val="00AA08F3"/>
    <w:rsid w:val="00AA093F"/>
    <w:rsid w:val="00AA09C0"/>
    <w:rsid w:val="00AA0B8A"/>
    <w:rsid w:val="00AA0BBD"/>
    <w:rsid w:val="00AA0C90"/>
    <w:rsid w:val="00AA0D92"/>
    <w:rsid w:val="00AA0E94"/>
    <w:rsid w:val="00AA0FDC"/>
    <w:rsid w:val="00AA10F0"/>
    <w:rsid w:val="00AA1454"/>
    <w:rsid w:val="00AA161D"/>
    <w:rsid w:val="00AA174E"/>
    <w:rsid w:val="00AA1765"/>
    <w:rsid w:val="00AA1863"/>
    <w:rsid w:val="00AA1939"/>
    <w:rsid w:val="00AA1A0F"/>
    <w:rsid w:val="00AA1AE4"/>
    <w:rsid w:val="00AA1BBD"/>
    <w:rsid w:val="00AA1E44"/>
    <w:rsid w:val="00AA2014"/>
    <w:rsid w:val="00AA2310"/>
    <w:rsid w:val="00AA246F"/>
    <w:rsid w:val="00AA258B"/>
    <w:rsid w:val="00AA25A8"/>
    <w:rsid w:val="00AA27AB"/>
    <w:rsid w:val="00AA2D29"/>
    <w:rsid w:val="00AA2F6E"/>
    <w:rsid w:val="00AA3144"/>
    <w:rsid w:val="00AA31FC"/>
    <w:rsid w:val="00AA31FE"/>
    <w:rsid w:val="00AA320F"/>
    <w:rsid w:val="00AA35C8"/>
    <w:rsid w:val="00AA37A1"/>
    <w:rsid w:val="00AA37F1"/>
    <w:rsid w:val="00AA3904"/>
    <w:rsid w:val="00AA3930"/>
    <w:rsid w:val="00AA3A35"/>
    <w:rsid w:val="00AA3A4B"/>
    <w:rsid w:val="00AA3AEF"/>
    <w:rsid w:val="00AA3B1D"/>
    <w:rsid w:val="00AA3B25"/>
    <w:rsid w:val="00AA3BB2"/>
    <w:rsid w:val="00AA3CC7"/>
    <w:rsid w:val="00AA3D2F"/>
    <w:rsid w:val="00AA3D5E"/>
    <w:rsid w:val="00AA3E76"/>
    <w:rsid w:val="00AA3EA6"/>
    <w:rsid w:val="00AA3EE3"/>
    <w:rsid w:val="00AA419A"/>
    <w:rsid w:val="00AA4224"/>
    <w:rsid w:val="00AA434D"/>
    <w:rsid w:val="00AA438A"/>
    <w:rsid w:val="00AA43EC"/>
    <w:rsid w:val="00AA450E"/>
    <w:rsid w:val="00AA469A"/>
    <w:rsid w:val="00AA4701"/>
    <w:rsid w:val="00AA472A"/>
    <w:rsid w:val="00AA4839"/>
    <w:rsid w:val="00AA4972"/>
    <w:rsid w:val="00AA49A3"/>
    <w:rsid w:val="00AA4A37"/>
    <w:rsid w:val="00AA4BE2"/>
    <w:rsid w:val="00AA4C10"/>
    <w:rsid w:val="00AA4C3F"/>
    <w:rsid w:val="00AA4C6E"/>
    <w:rsid w:val="00AA4D78"/>
    <w:rsid w:val="00AA4D9F"/>
    <w:rsid w:val="00AA4E74"/>
    <w:rsid w:val="00AA4F20"/>
    <w:rsid w:val="00AA4FD4"/>
    <w:rsid w:val="00AA5182"/>
    <w:rsid w:val="00AA5185"/>
    <w:rsid w:val="00AA5367"/>
    <w:rsid w:val="00AA54A2"/>
    <w:rsid w:val="00AA561F"/>
    <w:rsid w:val="00AA56A6"/>
    <w:rsid w:val="00AA56E7"/>
    <w:rsid w:val="00AA57D5"/>
    <w:rsid w:val="00AA592B"/>
    <w:rsid w:val="00AA5997"/>
    <w:rsid w:val="00AA5A0B"/>
    <w:rsid w:val="00AA5ABF"/>
    <w:rsid w:val="00AA5B7F"/>
    <w:rsid w:val="00AA5BBD"/>
    <w:rsid w:val="00AA5BE4"/>
    <w:rsid w:val="00AA5CBA"/>
    <w:rsid w:val="00AA5DC7"/>
    <w:rsid w:val="00AA5E3A"/>
    <w:rsid w:val="00AA5F27"/>
    <w:rsid w:val="00AA5F28"/>
    <w:rsid w:val="00AA5F38"/>
    <w:rsid w:val="00AA5F4D"/>
    <w:rsid w:val="00AA5F82"/>
    <w:rsid w:val="00AA602C"/>
    <w:rsid w:val="00AA60A6"/>
    <w:rsid w:val="00AA616C"/>
    <w:rsid w:val="00AA61D1"/>
    <w:rsid w:val="00AA6376"/>
    <w:rsid w:val="00AA63B2"/>
    <w:rsid w:val="00AA659E"/>
    <w:rsid w:val="00AA65C0"/>
    <w:rsid w:val="00AA6686"/>
    <w:rsid w:val="00AA67BE"/>
    <w:rsid w:val="00AA683D"/>
    <w:rsid w:val="00AA6875"/>
    <w:rsid w:val="00AA698C"/>
    <w:rsid w:val="00AA6A37"/>
    <w:rsid w:val="00AA6B1C"/>
    <w:rsid w:val="00AA6DC8"/>
    <w:rsid w:val="00AA6F87"/>
    <w:rsid w:val="00AA6FEB"/>
    <w:rsid w:val="00AA701C"/>
    <w:rsid w:val="00AA70B3"/>
    <w:rsid w:val="00AA7208"/>
    <w:rsid w:val="00AA73A2"/>
    <w:rsid w:val="00AA7406"/>
    <w:rsid w:val="00AA74F8"/>
    <w:rsid w:val="00AA766C"/>
    <w:rsid w:val="00AA77BC"/>
    <w:rsid w:val="00AA7906"/>
    <w:rsid w:val="00AA79AA"/>
    <w:rsid w:val="00AA79FD"/>
    <w:rsid w:val="00AA7BE5"/>
    <w:rsid w:val="00AA7D04"/>
    <w:rsid w:val="00AA7D42"/>
    <w:rsid w:val="00AA7F47"/>
    <w:rsid w:val="00AA7F73"/>
    <w:rsid w:val="00AA7FA4"/>
    <w:rsid w:val="00AA7FB0"/>
    <w:rsid w:val="00AB0053"/>
    <w:rsid w:val="00AB01F7"/>
    <w:rsid w:val="00AB0288"/>
    <w:rsid w:val="00AB029F"/>
    <w:rsid w:val="00AB0380"/>
    <w:rsid w:val="00AB0700"/>
    <w:rsid w:val="00AB0743"/>
    <w:rsid w:val="00AB07A0"/>
    <w:rsid w:val="00AB0830"/>
    <w:rsid w:val="00AB08E8"/>
    <w:rsid w:val="00AB09A3"/>
    <w:rsid w:val="00AB09DE"/>
    <w:rsid w:val="00AB0D31"/>
    <w:rsid w:val="00AB0F90"/>
    <w:rsid w:val="00AB112F"/>
    <w:rsid w:val="00AB115F"/>
    <w:rsid w:val="00AB1300"/>
    <w:rsid w:val="00AB1420"/>
    <w:rsid w:val="00AB143A"/>
    <w:rsid w:val="00AB14BE"/>
    <w:rsid w:val="00AB14D2"/>
    <w:rsid w:val="00AB1911"/>
    <w:rsid w:val="00AB1969"/>
    <w:rsid w:val="00AB1B3F"/>
    <w:rsid w:val="00AB1BDF"/>
    <w:rsid w:val="00AB1CD1"/>
    <w:rsid w:val="00AB1F0A"/>
    <w:rsid w:val="00AB1F8B"/>
    <w:rsid w:val="00AB1FD4"/>
    <w:rsid w:val="00AB2004"/>
    <w:rsid w:val="00AB213F"/>
    <w:rsid w:val="00AB216C"/>
    <w:rsid w:val="00AB21B8"/>
    <w:rsid w:val="00AB221C"/>
    <w:rsid w:val="00AB2313"/>
    <w:rsid w:val="00AB236C"/>
    <w:rsid w:val="00AB2460"/>
    <w:rsid w:val="00AB2526"/>
    <w:rsid w:val="00AB25F8"/>
    <w:rsid w:val="00AB2691"/>
    <w:rsid w:val="00AB2716"/>
    <w:rsid w:val="00AB2756"/>
    <w:rsid w:val="00AB291F"/>
    <w:rsid w:val="00AB2B8C"/>
    <w:rsid w:val="00AB2DCF"/>
    <w:rsid w:val="00AB2DD8"/>
    <w:rsid w:val="00AB2E68"/>
    <w:rsid w:val="00AB2E6D"/>
    <w:rsid w:val="00AB3024"/>
    <w:rsid w:val="00AB30F7"/>
    <w:rsid w:val="00AB3215"/>
    <w:rsid w:val="00AB3349"/>
    <w:rsid w:val="00AB3494"/>
    <w:rsid w:val="00AB34FD"/>
    <w:rsid w:val="00AB3646"/>
    <w:rsid w:val="00AB3811"/>
    <w:rsid w:val="00AB3857"/>
    <w:rsid w:val="00AB38AF"/>
    <w:rsid w:val="00AB38C7"/>
    <w:rsid w:val="00AB3B7B"/>
    <w:rsid w:val="00AB3BD1"/>
    <w:rsid w:val="00AB3C4D"/>
    <w:rsid w:val="00AB3CDA"/>
    <w:rsid w:val="00AB3D09"/>
    <w:rsid w:val="00AB3D19"/>
    <w:rsid w:val="00AB3ED7"/>
    <w:rsid w:val="00AB3EDA"/>
    <w:rsid w:val="00AB3F88"/>
    <w:rsid w:val="00AB3FF9"/>
    <w:rsid w:val="00AB4172"/>
    <w:rsid w:val="00AB41B6"/>
    <w:rsid w:val="00AB43B0"/>
    <w:rsid w:val="00AB4465"/>
    <w:rsid w:val="00AB458C"/>
    <w:rsid w:val="00AB4670"/>
    <w:rsid w:val="00AB48F3"/>
    <w:rsid w:val="00AB490C"/>
    <w:rsid w:val="00AB49D5"/>
    <w:rsid w:val="00AB4A44"/>
    <w:rsid w:val="00AB4AF1"/>
    <w:rsid w:val="00AB4B42"/>
    <w:rsid w:val="00AB4BA0"/>
    <w:rsid w:val="00AB4D67"/>
    <w:rsid w:val="00AB4DDD"/>
    <w:rsid w:val="00AB51D7"/>
    <w:rsid w:val="00AB5253"/>
    <w:rsid w:val="00AB53C3"/>
    <w:rsid w:val="00AB544F"/>
    <w:rsid w:val="00AB54AF"/>
    <w:rsid w:val="00AB54E0"/>
    <w:rsid w:val="00AB5587"/>
    <w:rsid w:val="00AB56E2"/>
    <w:rsid w:val="00AB57BA"/>
    <w:rsid w:val="00AB57F8"/>
    <w:rsid w:val="00AB5831"/>
    <w:rsid w:val="00AB5843"/>
    <w:rsid w:val="00AB585F"/>
    <w:rsid w:val="00AB59A6"/>
    <w:rsid w:val="00AB5A3E"/>
    <w:rsid w:val="00AB5A56"/>
    <w:rsid w:val="00AB5AED"/>
    <w:rsid w:val="00AB5B14"/>
    <w:rsid w:val="00AB5BD5"/>
    <w:rsid w:val="00AB5BFB"/>
    <w:rsid w:val="00AB5C4F"/>
    <w:rsid w:val="00AB5C81"/>
    <w:rsid w:val="00AB5CB6"/>
    <w:rsid w:val="00AB5D5E"/>
    <w:rsid w:val="00AB5DC7"/>
    <w:rsid w:val="00AB5DD7"/>
    <w:rsid w:val="00AB5DFF"/>
    <w:rsid w:val="00AB5F8E"/>
    <w:rsid w:val="00AB6041"/>
    <w:rsid w:val="00AB6058"/>
    <w:rsid w:val="00AB6679"/>
    <w:rsid w:val="00AB67B6"/>
    <w:rsid w:val="00AB6829"/>
    <w:rsid w:val="00AB6854"/>
    <w:rsid w:val="00AB6876"/>
    <w:rsid w:val="00AB68CD"/>
    <w:rsid w:val="00AB6903"/>
    <w:rsid w:val="00AB6AB0"/>
    <w:rsid w:val="00AB6B54"/>
    <w:rsid w:val="00AB6C37"/>
    <w:rsid w:val="00AB6C55"/>
    <w:rsid w:val="00AB6D64"/>
    <w:rsid w:val="00AB6DCD"/>
    <w:rsid w:val="00AB6EA5"/>
    <w:rsid w:val="00AB6EDB"/>
    <w:rsid w:val="00AB70E5"/>
    <w:rsid w:val="00AB73AD"/>
    <w:rsid w:val="00AB7499"/>
    <w:rsid w:val="00AB7696"/>
    <w:rsid w:val="00AB7760"/>
    <w:rsid w:val="00AB7840"/>
    <w:rsid w:val="00AB790B"/>
    <w:rsid w:val="00AB7AD9"/>
    <w:rsid w:val="00AB7B80"/>
    <w:rsid w:val="00AB7C59"/>
    <w:rsid w:val="00AB7EDC"/>
    <w:rsid w:val="00AB7EE6"/>
    <w:rsid w:val="00AC008F"/>
    <w:rsid w:val="00AC00B3"/>
    <w:rsid w:val="00AC01AF"/>
    <w:rsid w:val="00AC0210"/>
    <w:rsid w:val="00AC022B"/>
    <w:rsid w:val="00AC034D"/>
    <w:rsid w:val="00AC0424"/>
    <w:rsid w:val="00AC0519"/>
    <w:rsid w:val="00AC0641"/>
    <w:rsid w:val="00AC0814"/>
    <w:rsid w:val="00AC0836"/>
    <w:rsid w:val="00AC0844"/>
    <w:rsid w:val="00AC08B8"/>
    <w:rsid w:val="00AC08C5"/>
    <w:rsid w:val="00AC0945"/>
    <w:rsid w:val="00AC09FF"/>
    <w:rsid w:val="00AC0A4A"/>
    <w:rsid w:val="00AC0A93"/>
    <w:rsid w:val="00AC0BE4"/>
    <w:rsid w:val="00AC0CE5"/>
    <w:rsid w:val="00AC0D4A"/>
    <w:rsid w:val="00AC0F75"/>
    <w:rsid w:val="00AC0F76"/>
    <w:rsid w:val="00AC0FD9"/>
    <w:rsid w:val="00AC10AC"/>
    <w:rsid w:val="00AC10E0"/>
    <w:rsid w:val="00AC11B6"/>
    <w:rsid w:val="00AC1411"/>
    <w:rsid w:val="00AC1488"/>
    <w:rsid w:val="00AC152D"/>
    <w:rsid w:val="00AC1625"/>
    <w:rsid w:val="00AC167E"/>
    <w:rsid w:val="00AC17E1"/>
    <w:rsid w:val="00AC1C84"/>
    <w:rsid w:val="00AC1C90"/>
    <w:rsid w:val="00AC1CAE"/>
    <w:rsid w:val="00AC1E40"/>
    <w:rsid w:val="00AC1E56"/>
    <w:rsid w:val="00AC1EA0"/>
    <w:rsid w:val="00AC1EC4"/>
    <w:rsid w:val="00AC1F2A"/>
    <w:rsid w:val="00AC208F"/>
    <w:rsid w:val="00AC209A"/>
    <w:rsid w:val="00AC21EA"/>
    <w:rsid w:val="00AC21F0"/>
    <w:rsid w:val="00AC2447"/>
    <w:rsid w:val="00AC2486"/>
    <w:rsid w:val="00AC274E"/>
    <w:rsid w:val="00AC275B"/>
    <w:rsid w:val="00AC2957"/>
    <w:rsid w:val="00AC2BEE"/>
    <w:rsid w:val="00AC2C3C"/>
    <w:rsid w:val="00AC2D79"/>
    <w:rsid w:val="00AC2E1E"/>
    <w:rsid w:val="00AC2E95"/>
    <w:rsid w:val="00AC2F5B"/>
    <w:rsid w:val="00AC2F7D"/>
    <w:rsid w:val="00AC2FBB"/>
    <w:rsid w:val="00AC30E0"/>
    <w:rsid w:val="00AC3147"/>
    <w:rsid w:val="00AC3196"/>
    <w:rsid w:val="00AC3399"/>
    <w:rsid w:val="00AC3559"/>
    <w:rsid w:val="00AC35FA"/>
    <w:rsid w:val="00AC3629"/>
    <w:rsid w:val="00AC362B"/>
    <w:rsid w:val="00AC376B"/>
    <w:rsid w:val="00AC37AF"/>
    <w:rsid w:val="00AC37F2"/>
    <w:rsid w:val="00AC381F"/>
    <w:rsid w:val="00AC3828"/>
    <w:rsid w:val="00AC382F"/>
    <w:rsid w:val="00AC3862"/>
    <w:rsid w:val="00AC3A3C"/>
    <w:rsid w:val="00AC3A88"/>
    <w:rsid w:val="00AC3B11"/>
    <w:rsid w:val="00AC3B94"/>
    <w:rsid w:val="00AC3C06"/>
    <w:rsid w:val="00AC3CC5"/>
    <w:rsid w:val="00AC3ECB"/>
    <w:rsid w:val="00AC3F21"/>
    <w:rsid w:val="00AC3F75"/>
    <w:rsid w:val="00AC4065"/>
    <w:rsid w:val="00AC4097"/>
    <w:rsid w:val="00AC40E2"/>
    <w:rsid w:val="00AC40FC"/>
    <w:rsid w:val="00AC41EE"/>
    <w:rsid w:val="00AC423F"/>
    <w:rsid w:val="00AC4274"/>
    <w:rsid w:val="00AC4315"/>
    <w:rsid w:val="00AC4483"/>
    <w:rsid w:val="00AC461B"/>
    <w:rsid w:val="00AC4897"/>
    <w:rsid w:val="00AC491B"/>
    <w:rsid w:val="00AC4B78"/>
    <w:rsid w:val="00AC4BB9"/>
    <w:rsid w:val="00AC4BD5"/>
    <w:rsid w:val="00AC4C69"/>
    <w:rsid w:val="00AC4CEF"/>
    <w:rsid w:val="00AC4D27"/>
    <w:rsid w:val="00AC4FF4"/>
    <w:rsid w:val="00AC5062"/>
    <w:rsid w:val="00AC50A2"/>
    <w:rsid w:val="00AC50B9"/>
    <w:rsid w:val="00AC52BE"/>
    <w:rsid w:val="00AC52D5"/>
    <w:rsid w:val="00AC5399"/>
    <w:rsid w:val="00AC549F"/>
    <w:rsid w:val="00AC54F1"/>
    <w:rsid w:val="00AC55C2"/>
    <w:rsid w:val="00AC55CB"/>
    <w:rsid w:val="00AC55E3"/>
    <w:rsid w:val="00AC569E"/>
    <w:rsid w:val="00AC57CF"/>
    <w:rsid w:val="00AC59A6"/>
    <w:rsid w:val="00AC5A9C"/>
    <w:rsid w:val="00AC5B13"/>
    <w:rsid w:val="00AC5B89"/>
    <w:rsid w:val="00AC5C41"/>
    <w:rsid w:val="00AC5ECC"/>
    <w:rsid w:val="00AC5F7A"/>
    <w:rsid w:val="00AC6080"/>
    <w:rsid w:val="00AC61DC"/>
    <w:rsid w:val="00AC643D"/>
    <w:rsid w:val="00AC650A"/>
    <w:rsid w:val="00AC65DF"/>
    <w:rsid w:val="00AC6717"/>
    <w:rsid w:val="00AC67DA"/>
    <w:rsid w:val="00AC6842"/>
    <w:rsid w:val="00AC684A"/>
    <w:rsid w:val="00AC6938"/>
    <w:rsid w:val="00AC6DF8"/>
    <w:rsid w:val="00AC6E7C"/>
    <w:rsid w:val="00AC6EF2"/>
    <w:rsid w:val="00AC71C9"/>
    <w:rsid w:val="00AC726E"/>
    <w:rsid w:val="00AC7458"/>
    <w:rsid w:val="00AC75E2"/>
    <w:rsid w:val="00AC7846"/>
    <w:rsid w:val="00AC7863"/>
    <w:rsid w:val="00AC78A9"/>
    <w:rsid w:val="00AC7C49"/>
    <w:rsid w:val="00AC7D68"/>
    <w:rsid w:val="00AC7DB8"/>
    <w:rsid w:val="00AC7DBA"/>
    <w:rsid w:val="00AC7E20"/>
    <w:rsid w:val="00AC7E82"/>
    <w:rsid w:val="00AD01B4"/>
    <w:rsid w:val="00AD01E6"/>
    <w:rsid w:val="00AD01FF"/>
    <w:rsid w:val="00AD03BC"/>
    <w:rsid w:val="00AD04BF"/>
    <w:rsid w:val="00AD0621"/>
    <w:rsid w:val="00AD0653"/>
    <w:rsid w:val="00AD070C"/>
    <w:rsid w:val="00AD09F0"/>
    <w:rsid w:val="00AD0A56"/>
    <w:rsid w:val="00AD0A68"/>
    <w:rsid w:val="00AD0A6A"/>
    <w:rsid w:val="00AD0A99"/>
    <w:rsid w:val="00AD0B6C"/>
    <w:rsid w:val="00AD0C77"/>
    <w:rsid w:val="00AD0CC3"/>
    <w:rsid w:val="00AD0EC5"/>
    <w:rsid w:val="00AD0FB1"/>
    <w:rsid w:val="00AD1311"/>
    <w:rsid w:val="00AD1530"/>
    <w:rsid w:val="00AD1677"/>
    <w:rsid w:val="00AD168F"/>
    <w:rsid w:val="00AD17C3"/>
    <w:rsid w:val="00AD195C"/>
    <w:rsid w:val="00AD19B0"/>
    <w:rsid w:val="00AD1BFC"/>
    <w:rsid w:val="00AD1E6D"/>
    <w:rsid w:val="00AD1F57"/>
    <w:rsid w:val="00AD1F7C"/>
    <w:rsid w:val="00AD1F99"/>
    <w:rsid w:val="00AD205F"/>
    <w:rsid w:val="00AD207A"/>
    <w:rsid w:val="00AD2293"/>
    <w:rsid w:val="00AD22CD"/>
    <w:rsid w:val="00AD2523"/>
    <w:rsid w:val="00AD2543"/>
    <w:rsid w:val="00AD27A3"/>
    <w:rsid w:val="00AD28F2"/>
    <w:rsid w:val="00AD2959"/>
    <w:rsid w:val="00AD2A06"/>
    <w:rsid w:val="00AD2AD8"/>
    <w:rsid w:val="00AD2AEF"/>
    <w:rsid w:val="00AD2DBA"/>
    <w:rsid w:val="00AD2E33"/>
    <w:rsid w:val="00AD2EFF"/>
    <w:rsid w:val="00AD317D"/>
    <w:rsid w:val="00AD32B3"/>
    <w:rsid w:val="00AD344E"/>
    <w:rsid w:val="00AD3484"/>
    <w:rsid w:val="00AD357C"/>
    <w:rsid w:val="00AD375B"/>
    <w:rsid w:val="00AD393A"/>
    <w:rsid w:val="00AD3B02"/>
    <w:rsid w:val="00AD3CAE"/>
    <w:rsid w:val="00AD3D44"/>
    <w:rsid w:val="00AD3DB5"/>
    <w:rsid w:val="00AD3E39"/>
    <w:rsid w:val="00AD3EAE"/>
    <w:rsid w:val="00AD3F30"/>
    <w:rsid w:val="00AD4111"/>
    <w:rsid w:val="00AD41DD"/>
    <w:rsid w:val="00AD427E"/>
    <w:rsid w:val="00AD4344"/>
    <w:rsid w:val="00AD43B9"/>
    <w:rsid w:val="00AD4437"/>
    <w:rsid w:val="00AD44F4"/>
    <w:rsid w:val="00AD4525"/>
    <w:rsid w:val="00AD4683"/>
    <w:rsid w:val="00AD46E5"/>
    <w:rsid w:val="00AD4A85"/>
    <w:rsid w:val="00AD4CB4"/>
    <w:rsid w:val="00AD51EF"/>
    <w:rsid w:val="00AD53EA"/>
    <w:rsid w:val="00AD547E"/>
    <w:rsid w:val="00AD55D6"/>
    <w:rsid w:val="00AD5636"/>
    <w:rsid w:val="00AD5831"/>
    <w:rsid w:val="00AD5A78"/>
    <w:rsid w:val="00AD5AC4"/>
    <w:rsid w:val="00AD5C00"/>
    <w:rsid w:val="00AD5C8B"/>
    <w:rsid w:val="00AD61E9"/>
    <w:rsid w:val="00AD61FB"/>
    <w:rsid w:val="00AD6219"/>
    <w:rsid w:val="00AD632D"/>
    <w:rsid w:val="00AD6348"/>
    <w:rsid w:val="00AD6359"/>
    <w:rsid w:val="00AD6367"/>
    <w:rsid w:val="00AD63A2"/>
    <w:rsid w:val="00AD652D"/>
    <w:rsid w:val="00AD6554"/>
    <w:rsid w:val="00AD660A"/>
    <w:rsid w:val="00AD66A2"/>
    <w:rsid w:val="00AD67DF"/>
    <w:rsid w:val="00AD681D"/>
    <w:rsid w:val="00AD6894"/>
    <w:rsid w:val="00AD696A"/>
    <w:rsid w:val="00AD6AC4"/>
    <w:rsid w:val="00AD6AE7"/>
    <w:rsid w:val="00AD6C50"/>
    <w:rsid w:val="00AD6CAE"/>
    <w:rsid w:val="00AD6EEB"/>
    <w:rsid w:val="00AD71C6"/>
    <w:rsid w:val="00AD7257"/>
    <w:rsid w:val="00AD73D6"/>
    <w:rsid w:val="00AD7409"/>
    <w:rsid w:val="00AD7426"/>
    <w:rsid w:val="00AD7637"/>
    <w:rsid w:val="00AD76C9"/>
    <w:rsid w:val="00AD77E8"/>
    <w:rsid w:val="00AD787E"/>
    <w:rsid w:val="00AD7AAE"/>
    <w:rsid w:val="00AD7B3E"/>
    <w:rsid w:val="00AD7BE6"/>
    <w:rsid w:val="00AD7C46"/>
    <w:rsid w:val="00AE0019"/>
    <w:rsid w:val="00AE0310"/>
    <w:rsid w:val="00AE0415"/>
    <w:rsid w:val="00AE0603"/>
    <w:rsid w:val="00AE0876"/>
    <w:rsid w:val="00AE0897"/>
    <w:rsid w:val="00AE08EB"/>
    <w:rsid w:val="00AE0943"/>
    <w:rsid w:val="00AE0A02"/>
    <w:rsid w:val="00AE0B51"/>
    <w:rsid w:val="00AE0F9F"/>
    <w:rsid w:val="00AE101D"/>
    <w:rsid w:val="00AE11C8"/>
    <w:rsid w:val="00AE11EB"/>
    <w:rsid w:val="00AE1202"/>
    <w:rsid w:val="00AE138F"/>
    <w:rsid w:val="00AE14F0"/>
    <w:rsid w:val="00AE1550"/>
    <w:rsid w:val="00AE1597"/>
    <w:rsid w:val="00AE1B38"/>
    <w:rsid w:val="00AE1D73"/>
    <w:rsid w:val="00AE1DC7"/>
    <w:rsid w:val="00AE1E6C"/>
    <w:rsid w:val="00AE1EB9"/>
    <w:rsid w:val="00AE2038"/>
    <w:rsid w:val="00AE2063"/>
    <w:rsid w:val="00AE21C7"/>
    <w:rsid w:val="00AE24B5"/>
    <w:rsid w:val="00AE2643"/>
    <w:rsid w:val="00AE29AB"/>
    <w:rsid w:val="00AE29F7"/>
    <w:rsid w:val="00AE2A9B"/>
    <w:rsid w:val="00AE2AA1"/>
    <w:rsid w:val="00AE2C1A"/>
    <w:rsid w:val="00AE2C23"/>
    <w:rsid w:val="00AE2D04"/>
    <w:rsid w:val="00AE2D06"/>
    <w:rsid w:val="00AE2E09"/>
    <w:rsid w:val="00AE2E48"/>
    <w:rsid w:val="00AE2F6B"/>
    <w:rsid w:val="00AE2F90"/>
    <w:rsid w:val="00AE300F"/>
    <w:rsid w:val="00AE3046"/>
    <w:rsid w:val="00AE3110"/>
    <w:rsid w:val="00AE31AC"/>
    <w:rsid w:val="00AE3263"/>
    <w:rsid w:val="00AE327F"/>
    <w:rsid w:val="00AE3282"/>
    <w:rsid w:val="00AE328A"/>
    <w:rsid w:val="00AE3335"/>
    <w:rsid w:val="00AE33A9"/>
    <w:rsid w:val="00AE345B"/>
    <w:rsid w:val="00AE356D"/>
    <w:rsid w:val="00AE37F9"/>
    <w:rsid w:val="00AE38D7"/>
    <w:rsid w:val="00AE39D7"/>
    <w:rsid w:val="00AE3A0B"/>
    <w:rsid w:val="00AE3A2D"/>
    <w:rsid w:val="00AE3A99"/>
    <w:rsid w:val="00AE3B2C"/>
    <w:rsid w:val="00AE3B3D"/>
    <w:rsid w:val="00AE3DB6"/>
    <w:rsid w:val="00AE3DF5"/>
    <w:rsid w:val="00AE3E37"/>
    <w:rsid w:val="00AE3EEF"/>
    <w:rsid w:val="00AE403C"/>
    <w:rsid w:val="00AE413B"/>
    <w:rsid w:val="00AE43E5"/>
    <w:rsid w:val="00AE4476"/>
    <w:rsid w:val="00AE44CB"/>
    <w:rsid w:val="00AE460C"/>
    <w:rsid w:val="00AE460E"/>
    <w:rsid w:val="00AE4781"/>
    <w:rsid w:val="00AE480B"/>
    <w:rsid w:val="00AE49D0"/>
    <w:rsid w:val="00AE49D8"/>
    <w:rsid w:val="00AE4A6B"/>
    <w:rsid w:val="00AE4A96"/>
    <w:rsid w:val="00AE4AA9"/>
    <w:rsid w:val="00AE4C61"/>
    <w:rsid w:val="00AE4EC2"/>
    <w:rsid w:val="00AE4F22"/>
    <w:rsid w:val="00AE4F64"/>
    <w:rsid w:val="00AE4FE8"/>
    <w:rsid w:val="00AE5010"/>
    <w:rsid w:val="00AE50D7"/>
    <w:rsid w:val="00AE5219"/>
    <w:rsid w:val="00AE52E0"/>
    <w:rsid w:val="00AE52E8"/>
    <w:rsid w:val="00AE54BF"/>
    <w:rsid w:val="00AE54F0"/>
    <w:rsid w:val="00AE5510"/>
    <w:rsid w:val="00AE573C"/>
    <w:rsid w:val="00AE5920"/>
    <w:rsid w:val="00AE5971"/>
    <w:rsid w:val="00AE5A8D"/>
    <w:rsid w:val="00AE5B4C"/>
    <w:rsid w:val="00AE5B7C"/>
    <w:rsid w:val="00AE5D73"/>
    <w:rsid w:val="00AE5E83"/>
    <w:rsid w:val="00AE5EA0"/>
    <w:rsid w:val="00AE6025"/>
    <w:rsid w:val="00AE6032"/>
    <w:rsid w:val="00AE614A"/>
    <w:rsid w:val="00AE61DF"/>
    <w:rsid w:val="00AE639E"/>
    <w:rsid w:val="00AE6560"/>
    <w:rsid w:val="00AE661C"/>
    <w:rsid w:val="00AE680D"/>
    <w:rsid w:val="00AE69BC"/>
    <w:rsid w:val="00AE6A32"/>
    <w:rsid w:val="00AE6A35"/>
    <w:rsid w:val="00AE6B49"/>
    <w:rsid w:val="00AE6B68"/>
    <w:rsid w:val="00AE6B7F"/>
    <w:rsid w:val="00AE6D3D"/>
    <w:rsid w:val="00AE6DAD"/>
    <w:rsid w:val="00AE6DB1"/>
    <w:rsid w:val="00AE6EA3"/>
    <w:rsid w:val="00AE6ED0"/>
    <w:rsid w:val="00AE6F5C"/>
    <w:rsid w:val="00AE7058"/>
    <w:rsid w:val="00AE70A3"/>
    <w:rsid w:val="00AE70B0"/>
    <w:rsid w:val="00AE7122"/>
    <w:rsid w:val="00AE7141"/>
    <w:rsid w:val="00AE71BA"/>
    <w:rsid w:val="00AE71CD"/>
    <w:rsid w:val="00AE71E8"/>
    <w:rsid w:val="00AE72D6"/>
    <w:rsid w:val="00AE73E4"/>
    <w:rsid w:val="00AE74B2"/>
    <w:rsid w:val="00AE74EF"/>
    <w:rsid w:val="00AE757F"/>
    <w:rsid w:val="00AE7670"/>
    <w:rsid w:val="00AE768F"/>
    <w:rsid w:val="00AE76E9"/>
    <w:rsid w:val="00AE7713"/>
    <w:rsid w:val="00AE7715"/>
    <w:rsid w:val="00AE7743"/>
    <w:rsid w:val="00AE77F3"/>
    <w:rsid w:val="00AE781A"/>
    <w:rsid w:val="00AE7856"/>
    <w:rsid w:val="00AE7BA5"/>
    <w:rsid w:val="00AE7BDC"/>
    <w:rsid w:val="00AE7F8C"/>
    <w:rsid w:val="00AF0293"/>
    <w:rsid w:val="00AF0394"/>
    <w:rsid w:val="00AF051D"/>
    <w:rsid w:val="00AF05B5"/>
    <w:rsid w:val="00AF0614"/>
    <w:rsid w:val="00AF0695"/>
    <w:rsid w:val="00AF0760"/>
    <w:rsid w:val="00AF08A9"/>
    <w:rsid w:val="00AF0A7A"/>
    <w:rsid w:val="00AF0AEA"/>
    <w:rsid w:val="00AF0BDF"/>
    <w:rsid w:val="00AF0D14"/>
    <w:rsid w:val="00AF0E19"/>
    <w:rsid w:val="00AF0E4B"/>
    <w:rsid w:val="00AF0F1F"/>
    <w:rsid w:val="00AF0FAE"/>
    <w:rsid w:val="00AF110B"/>
    <w:rsid w:val="00AF11BC"/>
    <w:rsid w:val="00AF13C5"/>
    <w:rsid w:val="00AF154C"/>
    <w:rsid w:val="00AF160C"/>
    <w:rsid w:val="00AF1657"/>
    <w:rsid w:val="00AF16CB"/>
    <w:rsid w:val="00AF1816"/>
    <w:rsid w:val="00AF1820"/>
    <w:rsid w:val="00AF19EA"/>
    <w:rsid w:val="00AF1D48"/>
    <w:rsid w:val="00AF1FAD"/>
    <w:rsid w:val="00AF202F"/>
    <w:rsid w:val="00AF204D"/>
    <w:rsid w:val="00AF21B3"/>
    <w:rsid w:val="00AF21F1"/>
    <w:rsid w:val="00AF2228"/>
    <w:rsid w:val="00AF22D6"/>
    <w:rsid w:val="00AF2411"/>
    <w:rsid w:val="00AF245D"/>
    <w:rsid w:val="00AF248A"/>
    <w:rsid w:val="00AF2766"/>
    <w:rsid w:val="00AF276D"/>
    <w:rsid w:val="00AF2911"/>
    <w:rsid w:val="00AF2925"/>
    <w:rsid w:val="00AF2A91"/>
    <w:rsid w:val="00AF2AB7"/>
    <w:rsid w:val="00AF2E32"/>
    <w:rsid w:val="00AF2E50"/>
    <w:rsid w:val="00AF2EBC"/>
    <w:rsid w:val="00AF2F2E"/>
    <w:rsid w:val="00AF3213"/>
    <w:rsid w:val="00AF3249"/>
    <w:rsid w:val="00AF3372"/>
    <w:rsid w:val="00AF339C"/>
    <w:rsid w:val="00AF33B2"/>
    <w:rsid w:val="00AF33DC"/>
    <w:rsid w:val="00AF3475"/>
    <w:rsid w:val="00AF3534"/>
    <w:rsid w:val="00AF35A2"/>
    <w:rsid w:val="00AF35B1"/>
    <w:rsid w:val="00AF3780"/>
    <w:rsid w:val="00AF38CE"/>
    <w:rsid w:val="00AF39D6"/>
    <w:rsid w:val="00AF3B10"/>
    <w:rsid w:val="00AF3CE3"/>
    <w:rsid w:val="00AF3E18"/>
    <w:rsid w:val="00AF3EFB"/>
    <w:rsid w:val="00AF4066"/>
    <w:rsid w:val="00AF42B2"/>
    <w:rsid w:val="00AF441F"/>
    <w:rsid w:val="00AF45D7"/>
    <w:rsid w:val="00AF4B4C"/>
    <w:rsid w:val="00AF4BCA"/>
    <w:rsid w:val="00AF4C19"/>
    <w:rsid w:val="00AF4D19"/>
    <w:rsid w:val="00AF4E9E"/>
    <w:rsid w:val="00AF5283"/>
    <w:rsid w:val="00AF528C"/>
    <w:rsid w:val="00AF551B"/>
    <w:rsid w:val="00AF5571"/>
    <w:rsid w:val="00AF5597"/>
    <w:rsid w:val="00AF5733"/>
    <w:rsid w:val="00AF5822"/>
    <w:rsid w:val="00AF5933"/>
    <w:rsid w:val="00AF59C1"/>
    <w:rsid w:val="00AF5AB1"/>
    <w:rsid w:val="00AF5C0F"/>
    <w:rsid w:val="00AF5C24"/>
    <w:rsid w:val="00AF5E60"/>
    <w:rsid w:val="00AF5F43"/>
    <w:rsid w:val="00AF5F9B"/>
    <w:rsid w:val="00AF5F9C"/>
    <w:rsid w:val="00AF5F9E"/>
    <w:rsid w:val="00AF603E"/>
    <w:rsid w:val="00AF6084"/>
    <w:rsid w:val="00AF60D9"/>
    <w:rsid w:val="00AF60F5"/>
    <w:rsid w:val="00AF6323"/>
    <w:rsid w:val="00AF645A"/>
    <w:rsid w:val="00AF64F0"/>
    <w:rsid w:val="00AF65EB"/>
    <w:rsid w:val="00AF6747"/>
    <w:rsid w:val="00AF677F"/>
    <w:rsid w:val="00AF67A9"/>
    <w:rsid w:val="00AF68D9"/>
    <w:rsid w:val="00AF6910"/>
    <w:rsid w:val="00AF6A13"/>
    <w:rsid w:val="00AF6ABD"/>
    <w:rsid w:val="00AF6ABF"/>
    <w:rsid w:val="00AF6AC5"/>
    <w:rsid w:val="00AF6B13"/>
    <w:rsid w:val="00AF6CA5"/>
    <w:rsid w:val="00AF6D1C"/>
    <w:rsid w:val="00AF6D50"/>
    <w:rsid w:val="00AF6E32"/>
    <w:rsid w:val="00AF6E4B"/>
    <w:rsid w:val="00AF6E54"/>
    <w:rsid w:val="00AF6E91"/>
    <w:rsid w:val="00AF6F68"/>
    <w:rsid w:val="00AF7021"/>
    <w:rsid w:val="00AF7061"/>
    <w:rsid w:val="00AF712B"/>
    <w:rsid w:val="00AF72C0"/>
    <w:rsid w:val="00AF733F"/>
    <w:rsid w:val="00AF7340"/>
    <w:rsid w:val="00AF7411"/>
    <w:rsid w:val="00AF7606"/>
    <w:rsid w:val="00AF775B"/>
    <w:rsid w:val="00AF781B"/>
    <w:rsid w:val="00AF7A44"/>
    <w:rsid w:val="00AF7BB7"/>
    <w:rsid w:val="00AF7C45"/>
    <w:rsid w:val="00AF7CC2"/>
    <w:rsid w:val="00AF7F71"/>
    <w:rsid w:val="00AF7FA9"/>
    <w:rsid w:val="00B00042"/>
    <w:rsid w:val="00B000C0"/>
    <w:rsid w:val="00B000C2"/>
    <w:rsid w:val="00B000CE"/>
    <w:rsid w:val="00B0016F"/>
    <w:rsid w:val="00B00225"/>
    <w:rsid w:val="00B0060A"/>
    <w:rsid w:val="00B007F0"/>
    <w:rsid w:val="00B008CB"/>
    <w:rsid w:val="00B00911"/>
    <w:rsid w:val="00B00C5A"/>
    <w:rsid w:val="00B00C7F"/>
    <w:rsid w:val="00B00D2E"/>
    <w:rsid w:val="00B00DB0"/>
    <w:rsid w:val="00B00DBF"/>
    <w:rsid w:val="00B00EFC"/>
    <w:rsid w:val="00B01161"/>
    <w:rsid w:val="00B01200"/>
    <w:rsid w:val="00B01215"/>
    <w:rsid w:val="00B0169F"/>
    <w:rsid w:val="00B017B2"/>
    <w:rsid w:val="00B017B9"/>
    <w:rsid w:val="00B01844"/>
    <w:rsid w:val="00B0184F"/>
    <w:rsid w:val="00B018D8"/>
    <w:rsid w:val="00B01990"/>
    <w:rsid w:val="00B01B46"/>
    <w:rsid w:val="00B01BFF"/>
    <w:rsid w:val="00B01C63"/>
    <w:rsid w:val="00B01D4B"/>
    <w:rsid w:val="00B01DB1"/>
    <w:rsid w:val="00B01EDF"/>
    <w:rsid w:val="00B01FE0"/>
    <w:rsid w:val="00B0201F"/>
    <w:rsid w:val="00B022B7"/>
    <w:rsid w:val="00B0236A"/>
    <w:rsid w:val="00B023D9"/>
    <w:rsid w:val="00B02523"/>
    <w:rsid w:val="00B02557"/>
    <w:rsid w:val="00B0255E"/>
    <w:rsid w:val="00B025CF"/>
    <w:rsid w:val="00B025DD"/>
    <w:rsid w:val="00B025F3"/>
    <w:rsid w:val="00B0270B"/>
    <w:rsid w:val="00B029BB"/>
    <w:rsid w:val="00B02CBC"/>
    <w:rsid w:val="00B02F73"/>
    <w:rsid w:val="00B02FCC"/>
    <w:rsid w:val="00B03002"/>
    <w:rsid w:val="00B03023"/>
    <w:rsid w:val="00B030F6"/>
    <w:rsid w:val="00B0316D"/>
    <w:rsid w:val="00B031AC"/>
    <w:rsid w:val="00B031BE"/>
    <w:rsid w:val="00B031D4"/>
    <w:rsid w:val="00B031FA"/>
    <w:rsid w:val="00B0329B"/>
    <w:rsid w:val="00B03754"/>
    <w:rsid w:val="00B03935"/>
    <w:rsid w:val="00B039C4"/>
    <w:rsid w:val="00B03B39"/>
    <w:rsid w:val="00B03BB0"/>
    <w:rsid w:val="00B03DD6"/>
    <w:rsid w:val="00B03DF9"/>
    <w:rsid w:val="00B03E61"/>
    <w:rsid w:val="00B03E96"/>
    <w:rsid w:val="00B03F47"/>
    <w:rsid w:val="00B04041"/>
    <w:rsid w:val="00B0406F"/>
    <w:rsid w:val="00B0421B"/>
    <w:rsid w:val="00B04490"/>
    <w:rsid w:val="00B04647"/>
    <w:rsid w:val="00B0469C"/>
    <w:rsid w:val="00B046DC"/>
    <w:rsid w:val="00B047A3"/>
    <w:rsid w:val="00B048C6"/>
    <w:rsid w:val="00B04929"/>
    <w:rsid w:val="00B049DC"/>
    <w:rsid w:val="00B04A0B"/>
    <w:rsid w:val="00B04B0C"/>
    <w:rsid w:val="00B04BC9"/>
    <w:rsid w:val="00B04CAE"/>
    <w:rsid w:val="00B04CAF"/>
    <w:rsid w:val="00B04D01"/>
    <w:rsid w:val="00B04D13"/>
    <w:rsid w:val="00B04DF8"/>
    <w:rsid w:val="00B05060"/>
    <w:rsid w:val="00B0519A"/>
    <w:rsid w:val="00B051C3"/>
    <w:rsid w:val="00B05280"/>
    <w:rsid w:val="00B052FE"/>
    <w:rsid w:val="00B05321"/>
    <w:rsid w:val="00B05325"/>
    <w:rsid w:val="00B05436"/>
    <w:rsid w:val="00B05450"/>
    <w:rsid w:val="00B05903"/>
    <w:rsid w:val="00B05970"/>
    <w:rsid w:val="00B05B07"/>
    <w:rsid w:val="00B05B19"/>
    <w:rsid w:val="00B05BCB"/>
    <w:rsid w:val="00B05C0E"/>
    <w:rsid w:val="00B05C1E"/>
    <w:rsid w:val="00B05F2C"/>
    <w:rsid w:val="00B05F4B"/>
    <w:rsid w:val="00B0614D"/>
    <w:rsid w:val="00B06188"/>
    <w:rsid w:val="00B063CB"/>
    <w:rsid w:val="00B06498"/>
    <w:rsid w:val="00B0659C"/>
    <w:rsid w:val="00B06637"/>
    <w:rsid w:val="00B066C8"/>
    <w:rsid w:val="00B06723"/>
    <w:rsid w:val="00B0672A"/>
    <w:rsid w:val="00B0683E"/>
    <w:rsid w:val="00B068ED"/>
    <w:rsid w:val="00B06916"/>
    <w:rsid w:val="00B06C54"/>
    <w:rsid w:val="00B06CB7"/>
    <w:rsid w:val="00B06CE2"/>
    <w:rsid w:val="00B06DDC"/>
    <w:rsid w:val="00B07100"/>
    <w:rsid w:val="00B0744C"/>
    <w:rsid w:val="00B0764F"/>
    <w:rsid w:val="00B077FF"/>
    <w:rsid w:val="00B0789B"/>
    <w:rsid w:val="00B07AB4"/>
    <w:rsid w:val="00B07B65"/>
    <w:rsid w:val="00B07BA5"/>
    <w:rsid w:val="00B07BDC"/>
    <w:rsid w:val="00B07C7A"/>
    <w:rsid w:val="00B07CA8"/>
    <w:rsid w:val="00B07CC7"/>
    <w:rsid w:val="00B07D6D"/>
    <w:rsid w:val="00B07D6E"/>
    <w:rsid w:val="00B07D90"/>
    <w:rsid w:val="00B07D9F"/>
    <w:rsid w:val="00B07EB6"/>
    <w:rsid w:val="00B07EE1"/>
    <w:rsid w:val="00B07F3B"/>
    <w:rsid w:val="00B100FE"/>
    <w:rsid w:val="00B1011C"/>
    <w:rsid w:val="00B10158"/>
    <w:rsid w:val="00B1017D"/>
    <w:rsid w:val="00B101BB"/>
    <w:rsid w:val="00B10818"/>
    <w:rsid w:val="00B108F1"/>
    <w:rsid w:val="00B1095A"/>
    <w:rsid w:val="00B10B52"/>
    <w:rsid w:val="00B10C9B"/>
    <w:rsid w:val="00B10D9A"/>
    <w:rsid w:val="00B10E52"/>
    <w:rsid w:val="00B10E6A"/>
    <w:rsid w:val="00B10FC6"/>
    <w:rsid w:val="00B10FDB"/>
    <w:rsid w:val="00B110C6"/>
    <w:rsid w:val="00B111F6"/>
    <w:rsid w:val="00B11432"/>
    <w:rsid w:val="00B11500"/>
    <w:rsid w:val="00B118E3"/>
    <w:rsid w:val="00B11C82"/>
    <w:rsid w:val="00B11CB2"/>
    <w:rsid w:val="00B11F61"/>
    <w:rsid w:val="00B12031"/>
    <w:rsid w:val="00B1203A"/>
    <w:rsid w:val="00B12156"/>
    <w:rsid w:val="00B12397"/>
    <w:rsid w:val="00B123A4"/>
    <w:rsid w:val="00B1248A"/>
    <w:rsid w:val="00B126F3"/>
    <w:rsid w:val="00B1290F"/>
    <w:rsid w:val="00B129E6"/>
    <w:rsid w:val="00B12B81"/>
    <w:rsid w:val="00B12D87"/>
    <w:rsid w:val="00B12DAC"/>
    <w:rsid w:val="00B1312B"/>
    <w:rsid w:val="00B131F2"/>
    <w:rsid w:val="00B134E7"/>
    <w:rsid w:val="00B136B5"/>
    <w:rsid w:val="00B136CC"/>
    <w:rsid w:val="00B1375A"/>
    <w:rsid w:val="00B1378A"/>
    <w:rsid w:val="00B13A50"/>
    <w:rsid w:val="00B13E49"/>
    <w:rsid w:val="00B13E5B"/>
    <w:rsid w:val="00B13F8D"/>
    <w:rsid w:val="00B141CF"/>
    <w:rsid w:val="00B14233"/>
    <w:rsid w:val="00B14345"/>
    <w:rsid w:val="00B14399"/>
    <w:rsid w:val="00B1439C"/>
    <w:rsid w:val="00B1443D"/>
    <w:rsid w:val="00B14456"/>
    <w:rsid w:val="00B144B8"/>
    <w:rsid w:val="00B145D8"/>
    <w:rsid w:val="00B14642"/>
    <w:rsid w:val="00B14781"/>
    <w:rsid w:val="00B14783"/>
    <w:rsid w:val="00B14786"/>
    <w:rsid w:val="00B14792"/>
    <w:rsid w:val="00B14805"/>
    <w:rsid w:val="00B14889"/>
    <w:rsid w:val="00B148E6"/>
    <w:rsid w:val="00B1497D"/>
    <w:rsid w:val="00B14B42"/>
    <w:rsid w:val="00B14C44"/>
    <w:rsid w:val="00B14C80"/>
    <w:rsid w:val="00B14C90"/>
    <w:rsid w:val="00B14D8A"/>
    <w:rsid w:val="00B14DEE"/>
    <w:rsid w:val="00B14E39"/>
    <w:rsid w:val="00B14E4D"/>
    <w:rsid w:val="00B14E75"/>
    <w:rsid w:val="00B14E77"/>
    <w:rsid w:val="00B14EC5"/>
    <w:rsid w:val="00B14FC9"/>
    <w:rsid w:val="00B15031"/>
    <w:rsid w:val="00B1536C"/>
    <w:rsid w:val="00B153FA"/>
    <w:rsid w:val="00B15581"/>
    <w:rsid w:val="00B1564B"/>
    <w:rsid w:val="00B15866"/>
    <w:rsid w:val="00B15898"/>
    <w:rsid w:val="00B159DA"/>
    <w:rsid w:val="00B15C17"/>
    <w:rsid w:val="00B15C78"/>
    <w:rsid w:val="00B15D51"/>
    <w:rsid w:val="00B15E62"/>
    <w:rsid w:val="00B162A3"/>
    <w:rsid w:val="00B1639C"/>
    <w:rsid w:val="00B163A8"/>
    <w:rsid w:val="00B16637"/>
    <w:rsid w:val="00B1675A"/>
    <w:rsid w:val="00B1689A"/>
    <w:rsid w:val="00B16943"/>
    <w:rsid w:val="00B1697C"/>
    <w:rsid w:val="00B16B9A"/>
    <w:rsid w:val="00B16C75"/>
    <w:rsid w:val="00B16D58"/>
    <w:rsid w:val="00B16D70"/>
    <w:rsid w:val="00B16DC6"/>
    <w:rsid w:val="00B16FCC"/>
    <w:rsid w:val="00B17103"/>
    <w:rsid w:val="00B17130"/>
    <w:rsid w:val="00B17649"/>
    <w:rsid w:val="00B17730"/>
    <w:rsid w:val="00B178E0"/>
    <w:rsid w:val="00B17B7A"/>
    <w:rsid w:val="00B17CAD"/>
    <w:rsid w:val="00B17D11"/>
    <w:rsid w:val="00B17D24"/>
    <w:rsid w:val="00B17E70"/>
    <w:rsid w:val="00B17F6B"/>
    <w:rsid w:val="00B200A6"/>
    <w:rsid w:val="00B201A5"/>
    <w:rsid w:val="00B202C6"/>
    <w:rsid w:val="00B20356"/>
    <w:rsid w:val="00B203B7"/>
    <w:rsid w:val="00B203D6"/>
    <w:rsid w:val="00B204C6"/>
    <w:rsid w:val="00B20565"/>
    <w:rsid w:val="00B20576"/>
    <w:rsid w:val="00B20709"/>
    <w:rsid w:val="00B20CAF"/>
    <w:rsid w:val="00B20EB2"/>
    <w:rsid w:val="00B20F10"/>
    <w:rsid w:val="00B20FCD"/>
    <w:rsid w:val="00B2119C"/>
    <w:rsid w:val="00B21304"/>
    <w:rsid w:val="00B214C6"/>
    <w:rsid w:val="00B2159C"/>
    <w:rsid w:val="00B21626"/>
    <w:rsid w:val="00B216D1"/>
    <w:rsid w:val="00B2181F"/>
    <w:rsid w:val="00B21975"/>
    <w:rsid w:val="00B21A73"/>
    <w:rsid w:val="00B21A7E"/>
    <w:rsid w:val="00B21AC8"/>
    <w:rsid w:val="00B21C51"/>
    <w:rsid w:val="00B21C64"/>
    <w:rsid w:val="00B21D18"/>
    <w:rsid w:val="00B21DD0"/>
    <w:rsid w:val="00B21E6C"/>
    <w:rsid w:val="00B21E6D"/>
    <w:rsid w:val="00B21F5E"/>
    <w:rsid w:val="00B22128"/>
    <w:rsid w:val="00B2212C"/>
    <w:rsid w:val="00B2214A"/>
    <w:rsid w:val="00B2225B"/>
    <w:rsid w:val="00B22288"/>
    <w:rsid w:val="00B222B5"/>
    <w:rsid w:val="00B222C9"/>
    <w:rsid w:val="00B222E0"/>
    <w:rsid w:val="00B22831"/>
    <w:rsid w:val="00B22C51"/>
    <w:rsid w:val="00B22CF6"/>
    <w:rsid w:val="00B22EB6"/>
    <w:rsid w:val="00B23116"/>
    <w:rsid w:val="00B23162"/>
    <w:rsid w:val="00B231F6"/>
    <w:rsid w:val="00B2335A"/>
    <w:rsid w:val="00B233DD"/>
    <w:rsid w:val="00B23418"/>
    <w:rsid w:val="00B2390F"/>
    <w:rsid w:val="00B2391A"/>
    <w:rsid w:val="00B23985"/>
    <w:rsid w:val="00B2398B"/>
    <w:rsid w:val="00B23DDE"/>
    <w:rsid w:val="00B23E00"/>
    <w:rsid w:val="00B23EAA"/>
    <w:rsid w:val="00B24032"/>
    <w:rsid w:val="00B2412F"/>
    <w:rsid w:val="00B2423F"/>
    <w:rsid w:val="00B242A8"/>
    <w:rsid w:val="00B242B7"/>
    <w:rsid w:val="00B24420"/>
    <w:rsid w:val="00B244CF"/>
    <w:rsid w:val="00B24564"/>
    <w:rsid w:val="00B24572"/>
    <w:rsid w:val="00B245A0"/>
    <w:rsid w:val="00B24737"/>
    <w:rsid w:val="00B247A3"/>
    <w:rsid w:val="00B247AC"/>
    <w:rsid w:val="00B2495A"/>
    <w:rsid w:val="00B24A6D"/>
    <w:rsid w:val="00B24AD6"/>
    <w:rsid w:val="00B24C07"/>
    <w:rsid w:val="00B24C89"/>
    <w:rsid w:val="00B24CF3"/>
    <w:rsid w:val="00B24D6C"/>
    <w:rsid w:val="00B24DFB"/>
    <w:rsid w:val="00B24E01"/>
    <w:rsid w:val="00B24F8D"/>
    <w:rsid w:val="00B250E3"/>
    <w:rsid w:val="00B25138"/>
    <w:rsid w:val="00B2519F"/>
    <w:rsid w:val="00B2520F"/>
    <w:rsid w:val="00B25427"/>
    <w:rsid w:val="00B25449"/>
    <w:rsid w:val="00B256D7"/>
    <w:rsid w:val="00B25890"/>
    <w:rsid w:val="00B25919"/>
    <w:rsid w:val="00B25B6E"/>
    <w:rsid w:val="00B25B7F"/>
    <w:rsid w:val="00B25D31"/>
    <w:rsid w:val="00B25DA8"/>
    <w:rsid w:val="00B25DF2"/>
    <w:rsid w:val="00B25DFC"/>
    <w:rsid w:val="00B25E2E"/>
    <w:rsid w:val="00B25E3A"/>
    <w:rsid w:val="00B2610A"/>
    <w:rsid w:val="00B261C5"/>
    <w:rsid w:val="00B261D8"/>
    <w:rsid w:val="00B263D5"/>
    <w:rsid w:val="00B264AC"/>
    <w:rsid w:val="00B2651F"/>
    <w:rsid w:val="00B2657D"/>
    <w:rsid w:val="00B26618"/>
    <w:rsid w:val="00B26656"/>
    <w:rsid w:val="00B268C5"/>
    <w:rsid w:val="00B26A54"/>
    <w:rsid w:val="00B26B70"/>
    <w:rsid w:val="00B26B9E"/>
    <w:rsid w:val="00B26C10"/>
    <w:rsid w:val="00B26D4C"/>
    <w:rsid w:val="00B26D8E"/>
    <w:rsid w:val="00B26DFA"/>
    <w:rsid w:val="00B26F03"/>
    <w:rsid w:val="00B2710B"/>
    <w:rsid w:val="00B27111"/>
    <w:rsid w:val="00B2712D"/>
    <w:rsid w:val="00B271B7"/>
    <w:rsid w:val="00B27313"/>
    <w:rsid w:val="00B273BB"/>
    <w:rsid w:val="00B274E0"/>
    <w:rsid w:val="00B27526"/>
    <w:rsid w:val="00B27593"/>
    <w:rsid w:val="00B275B6"/>
    <w:rsid w:val="00B27864"/>
    <w:rsid w:val="00B27973"/>
    <w:rsid w:val="00B27A30"/>
    <w:rsid w:val="00B27B6A"/>
    <w:rsid w:val="00B27C01"/>
    <w:rsid w:val="00B27D05"/>
    <w:rsid w:val="00B27EE5"/>
    <w:rsid w:val="00B27FD2"/>
    <w:rsid w:val="00B30205"/>
    <w:rsid w:val="00B30266"/>
    <w:rsid w:val="00B3037D"/>
    <w:rsid w:val="00B303EF"/>
    <w:rsid w:val="00B30450"/>
    <w:rsid w:val="00B30452"/>
    <w:rsid w:val="00B304DD"/>
    <w:rsid w:val="00B30639"/>
    <w:rsid w:val="00B306A2"/>
    <w:rsid w:val="00B306D3"/>
    <w:rsid w:val="00B30725"/>
    <w:rsid w:val="00B30790"/>
    <w:rsid w:val="00B307D0"/>
    <w:rsid w:val="00B308AC"/>
    <w:rsid w:val="00B30AD7"/>
    <w:rsid w:val="00B30C71"/>
    <w:rsid w:val="00B30E73"/>
    <w:rsid w:val="00B30E77"/>
    <w:rsid w:val="00B30E98"/>
    <w:rsid w:val="00B30EB2"/>
    <w:rsid w:val="00B30EB8"/>
    <w:rsid w:val="00B30F06"/>
    <w:rsid w:val="00B3107E"/>
    <w:rsid w:val="00B31267"/>
    <w:rsid w:val="00B3134D"/>
    <w:rsid w:val="00B31410"/>
    <w:rsid w:val="00B31481"/>
    <w:rsid w:val="00B31527"/>
    <w:rsid w:val="00B315FC"/>
    <w:rsid w:val="00B315FE"/>
    <w:rsid w:val="00B31726"/>
    <w:rsid w:val="00B3198B"/>
    <w:rsid w:val="00B31B44"/>
    <w:rsid w:val="00B31B72"/>
    <w:rsid w:val="00B31C1F"/>
    <w:rsid w:val="00B31C75"/>
    <w:rsid w:val="00B31D3A"/>
    <w:rsid w:val="00B31DAB"/>
    <w:rsid w:val="00B320C9"/>
    <w:rsid w:val="00B322BA"/>
    <w:rsid w:val="00B322D2"/>
    <w:rsid w:val="00B32371"/>
    <w:rsid w:val="00B32444"/>
    <w:rsid w:val="00B325D6"/>
    <w:rsid w:val="00B32625"/>
    <w:rsid w:val="00B3264A"/>
    <w:rsid w:val="00B3285B"/>
    <w:rsid w:val="00B328CD"/>
    <w:rsid w:val="00B32990"/>
    <w:rsid w:val="00B32A19"/>
    <w:rsid w:val="00B32B13"/>
    <w:rsid w:val="00B32B9C"/>
    <w:rsid w:val="00B32CA3"/>
    <w:rsid w:val="00B32EDC"/>
    <w:rsid w:val="00B3305D"/>
    <w:rsid w:val="00B33200"/>
    <w:rsid w:val="00B33294"/>
    <w:rsid w:val="00B33359"/>
    <w:rsid w:val="00B3347E"/>
    <w:rsid w:val="00B33533"/>
    <w:rsid w:val="00B3355E"/>
    <w:rsid w:val="00B3370A"/>
    <w:rsid w:val="00B33A41"/>
    <w:rsid w:val="00B33B73"/>
    <w:rsid w:val="00B33D28"/>
    <w:rsid w:val="00B33E06"/>
    <w:rsid w:val="00B33E44"/>
    <w:rsid w:val="00B33E64"/>
    <w:rsid w:val="00B33F19"/>
    <w:rsid w:val="00B33F23"/>
    <w:rsid w:val="00B3417C"/>
    <w:rsid w:val="00B341D4"/>
    <w:rsid w:val="00B34266"/>
    <w:rsid w:val="00B342C7"/>
    <w:rsid w:val="00B34313"/>
    <w:rsid w:val="00B343E2"/>
    <w:rsid w:val="00B344EB"/>
    <w:rsid w:val="00B34674"/>
    <w:rsid w:val="00B34692"/>
    <w:rsid w:val="00B34734"/>
    <w:rsid w:val="00B34736"/>
    <w:rsid w:val="00B3475B"/>
    <w:rsid w:val="00B348F6"/>
    <w:rsid w:val="00B349D7"/>
    <w:rsid w:val="00B34BA1"/>
    <w:rsid w:val="00B34EF5"/>
    <w:rsid w:val="00B34FEA"/>
    <w:rsid w:val="00B350BE"/>
    <w:rsid w:val="00B35265"/>
    <w:rsid w:val="00B35374"/>
    <w:rsid w:val="00B3537D"/>
    <w:rsid w:val="00B35427"/>
    <w:rsid w:val="00B3549D"/>
    <w:rsid w:val="00B3556C"/>
    <w:rsid w:val="00B355AA"/>
    <w:rsid w:val="00B356DC"/>
    <w:rsid w:val="00B356F9"/>
    <w:rsid w:val="00B3583B"/>
    <w:rsid w:val="00B35893"/>
    <w:rsid w:val="00B35A36"/>
    <w:rsid w:val="00B35B9D"/>
    <w:rsid w:val="00B35C7A"/>
    <w:rsid w:val="00B35E93"/>
    <w:rsid w:val="00B35EBE"/>
    <w:rsid w:val="00B35F08"/>
    <w:rsid w:val="00B35F6C"/>
    <w:rsid w:val="00B35FE3"/>
    <w:rsid w:val="00B36365"/>
    <w:rsid w:val="00B363EB"/>
    <w:rsid w:val="00B366A6"/>
    <w:rsid w:val="00B368AC"/>
    <w:rsid w:val="00B368CB"/>
    <w:rsid w:val="00B36AA2"/>
    <w:rsid w:val="00B36AF9"/>
    <w:rsid w:val="00B36BB6"/>
    <w:rsid w:val="00B36BE6"/>
    <w:rsid w:val="00B36CF1"/>
    <w:rsid w:val="00B36D45"/>
    <w:rsid w:val="00B36E0C"/>
    <w:rsid w:val="00B36EAC"/>
    <w:rsid w:val="00B37276"/>
    <w:rsid w:val="00B373C1"/>
    <w:rsid w:val="00B375A5"/>
    <w:rsid w:val="00B3767F"/>
    <w:rsid w:val="00B376EA"/>
    <w:rsid w:val="00B37987"/>
    <w:rsid w:val="00B37A0C"/>
    <w:rsid w:val="00B37A8F"/>
    <w:rsid w:val="00B37AF2"/>
    <w:rsid w:val="00B40006"/>
    <w:rsid w:val="00B4010D"/>
    <w:rsid w:val="00B401D1"/>
    <w:rsid w:val="00B403DC"/>
    <w:rsid w:val="00B403DE"/>
    <w:rsid w:val="00B40408"/>
    <w:rsid w:val="00B4045A"/>
    <w:rsid w:val="00B40478"/>
    <w:rsid w:val="00B404CC"/>
    <w:rsid w:val="00B4055B"/>
    <w:rsid w:val="00B40653"/>
    <w:rsid w:val="00B40698"/>
    <w:rsid w:val="00B406DD"/>
    <w:rsid w:val="00B406E6"/>
    <w:rsid w:val="00B4075F"/>
    <w:rsid w:val="00B40808"/>
    <w:rsid w:val="00B40907"/>
    <w:rsid w:val="00B40B7F"/>
    <w:rsid w:val="00B40B91"/>
    <w:rsid w:val="00B40CD4"/>
    <w:rsid w:val="00B40E0B"/>
    <w:rsid w:val="00B40E7E"/>
    <w:rsid w:val="00B41049"/>
    <w:rsid w:val="00B41094"/>
    <w:rsid w:val="00B4111A"/>
    <w:rsid w:val="00B411C2"/>
    <w:rsid w:val="00B411CF"/>
    <w:rsid w:val="00B41342"/>
    <w:rsid w:val="00B41430"/>
    <w:rsid w:val="00B41591"/>
    <w:rsid w:val="00B415E7"/>
    <w:rsid w:val="00B41632"/>
    <w:rsid w:val="00B41702"/>
    <w:rsid w:val="00B417B9"/>
    <w:rsid w:val="00B418D5"/>
    <w:rsid w:val="00B419CD"/>
    <w:rsid w:val="00B41BC2"/>
    <w:rsid w:val="00B41C15"/>
    <w:rsid w:val="00B41C29"/>
    <w:rsid w:val="00B41CB0"/>
    <w:rsid w:val="00B41D48"/>
    <w:rsid w:val="00B41D51"/>
    <w:rsid w:val="00B41DD0"/>
    <w:rsid w:val="00B41E8D"/>
    <w:rsid w:val="00B41F27"/>
    <w:rsid w:val="00B4208B"/>
    <w:rsid w:val="00B420EC"/>
    <w:rsid w:val="00B42133"/>
    <w:rsid w:val="00B42166"/>
    <w:rsid w:val="00B4227E"/>
    <w:rsid w:val="00B423B6"/>
    <w:rsid w:val="00B42591"/>
    <w:rsid w:val="00B42706"/>
    <w:rsid w:val="00B42818"/>
    <w:rsid w:val="00B428EE"/>
    <w:rsid w:val="00B428F1"/>
    <w:rsid w:val="00B42A14"/>
    <w:rsid w:val="00B42A2E"/>
    <w:rsid w:val="00B42DBD"/>
    <w:rsid w:val="00B42E16"/>
    <w:rsid w:val="00B42ECD"/>
    <w:rsid w:val="00B42F0A"/>
    <w:rsid w:val="00B43062"/>
    <w:rsid w:val="00B430A5"/>
    <w:rsid w:val="00B43178"/>
    <w:rsid w:val="00B43260"/>
    <w:rsid w:val="00B43322"/>
    <w:rsid w:val="00B43566"/>
    <w:rsid w:val="00B435FB"/>
    <w:rsid w:val="00B43746"/>
    <w:rsid w:val="00B43769"/>
    <w:rsid w:val="00B437DA"/>
    <w:rsid w:val="00B438EC"/>
    <w:rsid w:val="00B43C1B"/>
    <w:rsid w:val="00B43CC1"/>
    <w:rsid w:val="00B43D7A"/>
    <w:rsid w:val="00B43E67"/>
    <w:rsid w:val="00B43EBF"/>
    <w:rsid w:val="00B4406A"/>
    <w:rsid w:val="00B44113"/>
    <w:rsid w:val="00B44245"/>
    <w:rsid w:val="00B442AE"/>
    <w:rsid w:val="00B4441C"/>
    <w:rsid w:val="00B4479A"/>
    <w:rsid w:val="00B4483B"/>
    <w:rsid w:val="00B44969"/>
    <w:rsid w:val="00B44991"/>
    <w:rsid w:val="00B449E4"/>
    <w:rsid w:val="00B44BDA"/>
    <w:rsid w:val="00B44CA7"/>
    <w:rsid w:val="00B44DEA"/>
    <w:rsid w:val="00B44E00"/>
    <w:rsid w:val="00B44E23"/>
    <w:rsid w:val="00B44EE7"/>
    <w:rsid w:val="00B45063"/>
    <w:rsid w:val="00B4509A"/>
    <w:rsid w:val="00B450CD"/>
    <w:rsid w:val="00B4512C"/>
    <w:rsid w:val="00B45328"/>
    <w:rsid w:val="00B4545B"/>
    <w:rsid w:val="00B4552F"/>
    <w:rsid w:val="00B45556"/>
    <w:rsid w:val="00B45689"/>
    <w:rsid w:val="00B45699"/>
    <w:rsid w:val="00B45B96"/>
    <w:rsid w:val="00B45C7B"/>
    <w:rsid w:val="00B45D00"/>
    <w:rsid w:val="00B45E93"/>
    <w:rsid w:val="00B4602C"/>
    <w:rsid w:val="00B460F0"/>
    <w:rsid w:val="00B4621A"/>
    <w:rsid w:val="00B46233"/>
    <w:rsid w:val="00B462F5"/>
    <w:rsid w:val="00B4637B"/>
    <w:rsid w:val="00B46505"/>
    <w:rsid w:val="00B46589"/>
    <w:rsid w:val="00B466B8"/>
    <w:rsid w:val="00B466B9"/>
    <w:rsid w:val="00B46866"/>
    <w:rsid w:val="00B46896"/>
    <w:rsid w:val="00B469D1"/>
    <w:rsid w:val="00B46A4F"/>
    <w:rsid w:val="00B46A77"/>
    <w:rsid w:val="00B46AA7"/>
    <w:rsid w:val="00B46AE0"/>
    <w:rsid w:val="00B46C2D"/>
    <w:rsid w:val="00B46E99"/>
    <w:rsid w:val="00B46F30"/>
    <w:rsid w:val="00B47073"/>
    <w:rsid w:val="00B47324"/>
    <w:rsid w:val="00B4737E"/>
    <w:rsid w:val="00B474C8"/>
    <w:rsid w:val="00B47773"/>
    <w:rsid w:val="00B477A9"/>
    <w:rsid w:val="00B477C7"/>
    <w:rsid w:val="00B479D1"/>
    <w:rsid w:val="00B47A4F"/>
    <w:rsid w:val="00B47B02"/>
    <w:rsid w:val="00B47BD2"/>
    <w:rsid w:val="00B47CA6"/>
    <w:rsid w:val="00B47D9B"/>
    <w:rsid w:val="00B47F2B"/>
    <w:rsid w:val="00B47F82"/>
    <w:rsid w:val="00B47FC6"/>
    <w:rsid w:val="00B50176"/>
    <w:rsid w:val="00B5021C"/>
    <w:rsid w:val="00B50304"/>
    <w:rsid w:val="00B50425"/>
    <w:rsid w:val="00B504A5"/>
    <w:rsid w:val="00B505F6"/>
    <w:rsid w:val="00B5092F"/>
    <w:rsid w:val="00B50965"/>
    <w:rsid w:val="00B5096C"/>
    <w:rsid w:val="00B50B16"/>
    <w:rsid w:val="00B50BE0"/>
    <w:rsid w:val="00B50C29"/>
    <w:rsid w:val="00B50D90"/>
    <w:rsid w:val="00B50E62"/>
    <w:rsid w:val="00B50EC8"/>
    <w:rsid w:val="00B50EDD"/>
    <w:rsid w:val="00B50FDD"/>
    <w:rsid w:val="00B510A7"/>
    <w:rsid w:val="00B51188"/>
    <w:rsid w:val="00B5121A"/>
    <w:rsid w:val="00B51429"/>
    <w:rsid w:val="00B51461"/>
    <w:rsid w:val="00B5147C"/>
    <w:rsid w:val="00B51515"/>
    <w:rsid w:val="00B51549"/>
    <w:rsid w:val="00B51707"/>
    <w:rsid w:val="00B5172B"/>
    <w:rsid w:val="00B5173D"/>
    <w:rsid w:val="00B5180C"/>
    <w:rsid w:val="00B519A6"/>
    <w:rsid w:val="00B51AC3"/>
    <w:rsid w:val="00B51ADF"/>
    <w:rsid w:val="00B51B8C"/>
    <w:rsid w:val="00B51C2F"/>
    <w:rsid w:val="00B51D21"/>
    <w:rsid w:val="00B51E48"/>
    <w:rsid w:val="00B51EB2"/>
    <w:rsid w:val="00B51F4A"/>
    <w:rsid w:val="00B52208"/>
    <w:rsid w:val="00B5236A"/>
    <w:rsid w:val="00B5239C"/>
    <w:rsid w:val="00B523C6"/>
    <w:rsid w:val="00B523D0"/>
    <w:rsid w:val="00B5248C"/>
    <w:rsid w:val="00B526FE"/>
    <w:rsid w:val="00B52726"/>
    <w:rsid w:val="00B5280C"/>
    <w:rsid w:val="00B52892"/>
    <w:rsid w:val="00B52981"/>
    <w:rsid w:val="00B529B4"/>
    <w:rsid w:val="00B529F1"/>
    <w:rsid w:val="00B52A95"/>
    <w:rsid w:val="00B52E7C"/>
    <w:rsid w:val="00B52F14"/>
    <w:rsid w:val="00B52F17"/>
    <w:rsid w:val="00B52F7F"/>
    <w:rsid w:val="00B530F8"/>
    <w:rsid w:val="00B531D6"/>
    <w:rsid w:val="00B532BD"/>
    <w:rsid w:val="00B53333"/>
    <w:rsid w:val="00B5334A"/>
    <w:rsid w:val="00B53531"/>
    <w:rsid w:val="00B5357E"/>
    <w:rsid w:val="00B53681"/>
    <w:rsid w:val="00B536E4"/>
    <w:rsid w:val="00B537E9"/>
    <w:rsid w:val="00B537EC"/>
    <w:rsid w:val="00B538BB"/>
    <w:rsid w:val="00B53900"/>
    <w:rsid w:val="00B5392E"/>
    <w:rsid w:val="00B539E3"/>
    <w:rsid w:val="00B53B92"/>
    <w:rsid w:val="00B53CED"/>
    <w:rsid w:val="00B53E0A"/>
    <w:rsid w:val="00B53E68"/>
    <w:rsid w:val="00B53EC0"/>
    <w:rsid w:val="00B53F12"/>
    <w:rsid w:val="00B53F6A"/>
    <w:rsid w:val="00B540DA"/>
    <w:rsid w:val="00B5438F"/>
    <w:rsid w:val="00B543DF"/>
    <w:rsid w:val="00B544D0"/>
    <w:rsid w:val="00B5461F"/>
    <w:rsid w:val="00B54676"/>
    <w:rsid w:val="00B546E2"/>
    <w:rsid w:val="00B546F2"/>
    <w:rsid w:val="00B54877"/>
    <w:rsid w:val="00B548CA"/>
    <w:rsid w:val="00B54985"/>
    <w:rsid w:val="00B549BF"/>
    <w:rsid w:val="00B54AB8"/>
    <w:rsid w:val="00B54ACE"/>
    <w:rsid w:val="00B54C8D"/>
    <w:rsid w:val="00B54F9A"/>
    <w:rsid w:val="00B55022"/>
    <w:rsid w:val="00B55133"/>
    <w:rsid w:val="00B5536A"/>
    <w:rsid w:val="00B553A0"/>
    <w:rsid w:val="00B5541F"/>
    <w:rsid w:val="00B5556E"/>
    <w:rsid w:val="00B5567A"/>
    <w:rsid w:val="00B55796"/>
    <w:rsid w:val="00B5597B"/>
    <w:rsid w:val="00B55A2E"/>
    <w:rsid w:val="00B55AA0"/>
    <w:rsid w:val="00B55B04"/>
    <w:rsid w:val="00B55B05"/>
    <w:rsid w:val="00B55B06"/>
    <w:rsid w:val="00B55B94"/>
    <w:rsid w:val="00B55C44"/>
    <w:rsid w:val="00B55CDB"/>
    <w:rsid w:val="00B55CE5"/>
    <w:rsid w:val="00B55D9E"/>
    <w:rsid w:val="00B55E0A"/>
    <w:rsid w:val="00B56061"/>
    <w:rsid w:val="00B5607C"/>
    <w:rsid w:val="00B5623B"/>
    <w:rsid w:val="00B56300"/>
    <w:rsid w:val="00B5638B"/>
    <w:rsid w:val="00B5676B"/>
    <w:rsid w:val="00B567F0"/>
    <w:rsid w:val="00B567F5"/>
    <w:rsid w:val="00B5680A"/>
    <w:rsid w:val="00B56A30"/>
    <w:rsid w:val="00B56B2D"/>
    <w:rsid w:val="00B56BFD"/>
    <w:rsid w:val="00B56C22"/>
    <w:rsid w:val="00B56DE2"/>
    <w:rsid w:val="00B56E57"/>
    <w:rsid w:val="00B56F63"/>
    <w:rsid w:val="00B57021"/>
    <w:rsid w:val="00B570B4"/>
    <w:rsid w:val="00B57127"/>
    <w:rsid w:val="00B57275"/>
    <w:rsid w:val="00B572A3"/>
    <w:rsid w:val="00B57355"/>
    <w:rsid w:val="00B57709"/>
    <w:rsid w:val="00B57814"/>
    <w:rsid w:val="00B578AE"/>
    <w:rsid w:val="00B578FD"/>
    <w:rsid w:val="00B579C6"/>
    <w:rsid w:val="00B57AA6"/>
    <w:rsid w:val="00B57B4B"/>
    <w:rsid w:val="00B57BEF"/>
    <w:rsid w:val="00B57CAF"/>
    <w:rsid w:val="00B57D16"/>
    <w:rsid w:val="00B57F28"/>
    <w:rsid w:val="00B57F34"/>
    <w:rsid w:val="00B57FE7"/>
    <w:rsid w:val="00B60282"/>
    <w:rsid w:val="00B60292"/>
    <w:rsid w:val="00B602F9"/>
    <w:rsid w:val="00B60305"/>
    <w:rsid w:val="00B603F1"/>
    <w:rsid w:val="00B60406"/>
    <w:rsid w:val="00B6054F"/>
    <w:rsid w:val="00B60561"/>
    <w:rsid w:val="00B6060D"/>
    <w:rsid w:val="00B606A0"/>
    <w:rsid w:val="00B6070F"/>
    <w:rsid w:val="00B60719"/>
    <w:rsid w:val="00B60775"/>
    <w:rsid w:val="00B607A9"/>
    <w:rsid w:val="00B60806"/>
    <w:rsid w:val="00B6095A"/>
    <w:rsid w:val="00B60A8E"/>
    <w:rsid w:val="00B60ACC"/>
    <w:rsid w:val="00B60AF1"/>
    <w:rsid w:val="00B60D4B"/>
    <w:rsid w:val="00B60E29"/>
    <w:rsid w:val="00B60EC0"/>
    <w:rsid w:val="00B612E7"/>
    <w:rsid w:val="00B614EE"/>
    <w:rsid w:val="00B6150D"/>
    <w:rsid w:val="00B61694"/>
    <w:rsid w:val="00B617DA"/>
    <w:rsid w:val="00B618B2"/>
    <w:rsid w:val="00B61943"/>
    <w:rsid w:val="00B61B85"/>
    <w:rsid w:val="00B61D1D"/>
    <w:rsid w:val="00B61F70"/>
    <w:rsid w:val="00B6207F"/>
    <w:rsid w:val="00B62158"/>
    <w:rsid w:val="00B62328"/>
    <w:rsid w:val="00B62339"/>
    <w:rsid w:val="00B623B5"/>
    <w:rsid w:val="00B624FB"/>
    <w:rsid w:val="00B6262D"/>
    <w:rsid w:val="00B62667"/>
    <w:rsid w:val="00B626F8"/>
    <w:rsid w:val="00B627CF"/>
    <w:rsid w:val="00B628AD"/>
    <w:rsid w:val="00B62B5B"/>
    <w:rsid w:val="00B62B71"/>
    <w:rsid w:val="00B62D71"/>
    <w:rsid w:val="00B62DFB"/>
    <w:rsid w:val="00B62FC8"/>
    <w:rsid w:val="00B6309C"/>
    <w:rsid w:val="00B630D9"/>
    <w:rsid w:val="00B6321F"/>
    <w:rsid w:val="00B6326B"/>
    <w:rsid w:val="00B6360E"/>
    <w:rsid w:val="00B636EC"/>
    <w:rsid w:val="00B63751"/>
    <w:rsid w:val="00B63795"/>
    <w:rsid w:val="00B63867"/>
    <w:rsid w:val="00B63995"/>
    <w:rsid w:val="00B639FB"/>
    <w:rsid w:val="00B63AFB"/>
    <w:rsid w:val="00B63BE5"/>
    <w:rsid w:val="00B63D6E"/>
    <w:rsid w:val="00B63EE1"/>
    <w:rsid w:val="00B640B6"/>
    <w:rsid w:val="00B640CD"/>
    <w:rsid w:val="00B640E7"/>
    <w:rsid w:val="00B64181"/>
    <w:rsid w:val="00B6420E"/>
    <w:rsid w:val="00B642AC"/>
    <w:rsid w:val="00B6434C"/>
    <w:rsid w:val="00B6441F"/>
    <w:rsid w:val="00B64497"/>
    <w:rsid w:val="00B64563"/>
    <w:rsid w:val="00B64586"/>
    <w:rsid w:val="00B64604"/>
    <w:rsid w:val="00B646C4"/>
    <w:rsid w:val="00B6473A"/>
    <w:rsid w:val="00B64782"/>
    <w:rsid w:val="00B64790"/>
    <w:rsid w:val="00B64AFE"/>
    <w:rsid w:val="00B64B7D"/>
    <w:rsid w:val="00B64BBF"/>
    <w:rsid w:val="00B64C3E"/>
    <w:rsid w:val="00B64C52"/>
    <w:rsid w:val="00B64CD9"/>
    <w:rsid w:val="00B64DD5"/>
    <w:rsid w:val="00B64E7E"/>
    <w:rsid w:val="00B651FD"/>
    <w:rsid w:val="00B65347"/>
    <w:rsid w:val="00B65438"/>
    <w:rsid w:val="00B656C4"/>
    <w:rsid w:val="00B657CF"/>
    <w:rsid w:val="00B657DC"/>
    <w:rsid w:val="00B657F8"/>
    <w:rsid w:val="00B6583E"/>
    <w:rsid w:val="00B658F2"/>
    <w:rsid w:val="00B6592C"/>
    <w:rsid w:val="00B659B4"/>
    <w:rsid w:val="00B65B66"/>
    <w:rsid w:val="00B65D88"/>
    <w:rsid w:val="00B65DE1"/>
    <w:rsid w:val="00B65E31"/>
    <w:rsid w:val="00B65E56"/>
    <w:rsid w:val="00B65F6F"/>
    <w:rsid w:val="00B66083"/>
    <w:rsid w:val="00B660FC"/>
    <w:rsid w:val="00B661B8"/>
    <w:rsid w:val="00B66447"/>
    <w:rsid w:val="00B664C1"/>
    <w:rsid w:val="00B664E2"/>
    <w:rsid w:val="00B665EB"/>
    <w:rsid w:val="00B666ED"/>
    <w:rsid w:val="00B669CE"/>
    <w:rsid w:val="00B66C42"/>
    <w:rsid w:val="00B66D0C"/>
    <w:rsid w:val="00B66E70"/>
    <w:rsid w:val="00B66E73"/>
    <w:rsid w:val="00B66E7B"/>
    <w:rsid w:val="00B66F3B"/>
    <w:rsid w:val="00B67166"/>
    <w:rsid w:val="00B6725F"/>
    <w:rsid w:val="00B672EF"/>
    <w:rsid w:val="00B67492"/>
    <w:rsid w:val="00B677A5"/>
    <w:rsid w:val="00B6787A"/>
    <w:rsid w:val="00B678F0"/>
    <w:rsid w:val="00B67940"/>
    <w:rsid w:val="00B67AB6"/>
    <w:rsid w:val="00B67CE7"/>
    <w:rsid w:val="00B67D62"/>
    <w:rsid w:val="00B67DBB"/>
    <w:rsid w:val="00B7001D"/>
    <w:rsid w:val="00B701CD"/>
    <w:rsid w:val="00B7028D"/>
    <w:rsid w:val="00B70BE2"/>
    <w:rsid w:val="00B70D3D"/>
    <w:rsid w:val="00B70E66"/>
    <w:rsid w:val="00B70FC7"/>
    <w:rsid w:val="00B70FCB"/>
    <w:rsid w:val="00B710D7"/>
    <w:rsid w:val="00B712DF"/>
    <w:rsid w:val="00B713AC"/>
    <w:rsid w:val="00B713D1"/>
    <w:rsid w:val="00B71427"/>
    <w:rsid w:val="00B71495"/>
    <w:rsid w:val="00B715D4"/>
    <w:rsid w:val="00B7185B"/>
    <w:rsid w:val="00B718D5"/>
    <w:rsid w:val="00B71959"/>
    <w:rsid w:val="00B71A49"/>
    <w:rsid w:val="00B71B64"/>
    <w:rsid w:val="00B71B89"/>
    <w:rsid w:val="00B71CED"/>
    <w:rsid w:val="00B71E3A"/>
    <w:rsid w:val="00B71F8D"/>
    <w:rsid w:val="00B7210C"/>
    <w:rsid w:val="00B72180"/>
    <w:rsid w:val="00B722F5"/>
    <w:rsid w:val="00B72420"/>
    <w:rsid w:val="00B7243E"/>
    <w:rsid w:val="00B72467"/>
    <w:rsid w:val="00B7248A"/>
    <w:rsid w:val="00B72502"/>
    <w:rsid w:val="00B725DF"/>
    <w:rsid w:val="00B727E1"/>
    <w:rsid w:val="00B7286F"/>
    <w:rsid w:val="00B729AE"/>
    <w:rsid w:val="00B729BB"/>
    <w:rsid w:val="00B72A0C"/>
    <w:rsid w:val="00B72A15"/>
    <w:rsid w:val="00B72A4B"/>
    <w:rsid w:val="00B72A58"/>
    <w:rsid w:val="00B72AF0"/>
    <w:rsid w:val="00B72B52"/>
    <w:rsid w:val="00B72DE5"/>
    <w:rsid w:val="00B72E76"/>
    <w:rsid w:val="00B72ECA"/>
    <w:rsid w:val="00B73028"/>
    <w:rsid w:val="00B731C1"/>
    <w:rsid w:val="00B733C5"/>
    <w:rsid w:val="00B7346B"/>
    <w:rsid w:val="00B73513"/>
    <w:rsid w:val="00B736D0"/>
    <w:rsid w:val="00B7375A"/>
    <w:rsid w:val="00B737EB"/>
    <w:rsid w:val="00B7393C"/>
    <w:rsid w:val="00B73A15"/>
    <w:rsid w:val="00B73AFA"/>
    <w:rsid w:val="00B73C03"/>
    <w:rsid w:val="00B73CD3"/>
    <w:rsid w:val="00B73DDF"/>
    <w:rsid w:val="00B73E8A"/>
    <w:rsid w:val="00B73ED7"/>
    <w:rsid w:val="00B73FA2"/>
    <w:rsid w:val="00B74014"/>
    <w:rsid w:val="00B74085"/>
    <w:rsid w:val="00B740A1"/>
    <w:rsid w:val="00B7412D"/>
    <w:rsid w:val="00B74144"/>
    <w:rsid w:val="00B7428B"/>
    <w:rsid w:val="00B7429A"/>
    <w:rsid w:val="00B74494"/>
    <w:rsid w:val="00B748A9"/>
    <w:rsid w:val="00B74930"/>
    <w:rsid w:val="00B749A9"/>
    <w:rsid w:val="00B74A53"/>
    <w:rsid w:val="00B74A8D"/>
    <w:rsid w:val="00B74B5B"/>
    <w:rsid w:val="00B74B78"/>
    <w:rsid w:val="00B74D3E"/>
    <w:rsid w:val="00B74DC3"/>
    <w:rsid w:val="00B74DEC"/>
    <w:rsid w:val="00B74E99"/>
    <w:rsid w:val="00B74EF7"/>
    <w:rsid w:val="00B74F86"/>
    <w:rsid w:val="00B753A5"/>
    <w:rsid w:val="00B75473"/>
    <w:rsid w:val="00B75520"/>
    <w:rsid w:val="00B7558D"/>
    <w:rsid w:val="00B756D8"/>
    <w:rsid w:val="00B75746"/>
    <w:rsid w:val="00B75755"/>
    <w:rsid w:val="00B757D8"/>
    <w:rsid w:val="00B758EE"/>
    <w:rsid w:val="00B7594B"/>
    <w:rsid w:val="00B7595A"/>
    <w:rsid w:val="00B75A96"/>
    <w:rsid w:val="00B75AE8"/>
    <w:rsid w:val="00B75B03"/>
    <w:rsid w:val="00B75B21"/>
    <w:rsid w:val="00B75C84"/>
    <w:rsid w:val="00B75D3B"/>
    <w:rsid w:val="00B75D75"/>
    <w:rsid w:val="00B75E1E"/>
    <w:rsid w:val="00B75E36"/>
    <w:rsid w:val="00B75F13"/>
    <w:rsid w:val="00B7607A"/>
    <w:rsid w:val="00B76142"/>
    <w:rsid w:val="00B7617A"/>
    <w:rsid w:val="00B7644A"/>
    <w:rsid w:val="00B76511"/>
    <w:rsid w:val="00B7663F"/>
    <w:rsid w:val="00B767AC"/>
    <w:rsid w:val="00B76906"/>
    <w:rsid w:val="00B76917"/>
    <w:rsid w:val="00B7691E"/>
    <w:rsid w:val="00B769D9"/>
    <w:rsid w:val="00B76B76"/>
    <w:rsid w:val="00B76DC2"/>
    <w:rsid w:val="00B76FCB"/>
    <w:rsid w:val="00B76FCF"/>
    <w:rsid w:val="00B76FF7"/>
    <w:rsid w:val="00B770E3"/>
    <w:rsid w:val="00B77165"/>
    <w:rsid w:val="00B77562"/>
    <w:rsid w:val="00B775EE"/>
    <w:rsid w:val="00B7776F"/>
    <w:rsid w:val="00B77A35"/>
    <w:rsid w:val="00B77A76"/>
    <w:rsid w:val="00B77AF0"/>
    <w:rsid w:val="00B77C23"/>
    <w:rsid w:val="00B77C28"/>
    <w:rsid w:val="00B77D26"/>
    <w:rsid w:val="00B77E21"/>
    <w:rsid w:val="00B80029"/>
    <w:rsid w:val="00B80160"/>
    <w:rsid w:val="00B80292"/>
    <w:rsid w:val="00B803FB"/>
    <w:rsid w:val="00B805D6"/>
    <w:rsid w:val="00B80678"/>
    <w:rsid w:val="00B807FE"/>
    <w:rsid w:val="00B80845"/>
    <w:rsid w:val="00B80851"/>
    <w:rsid w:val="00B80886"/>
    <w:rsid w:val="00B80AED"/>
    <w:rsid w:val="00B80B03"/>
    <w:rsid w:val="00B80B8B"/>
    <w:rsid w:val="00B813DE"/>
    <w:rsid w:val="00B8141C"/>
    <w:rsid w:val="00B8144E"/>
    <w:rsid w:val="00B8147B"/>
    <w:rsid w:val="00B814D8"/>
    <w:rsid w:val="00B81512"/>
    <w:rsid w:val="00B81653"/>
    <w:rsid w:val="00B81708"/>
    <w:rsid w:val="00B8170D"/>
    <w:rsid w:val="00B8171F"/>
    <w:rsid w:val="00B81998"/>
    <w:rsid w:val="00B81A93"/>
    <w:rsid w:val="00B81B44"/>
    <w:rsid w:val="00B81B80"/>
    <w:rsid w:val="00B81BE8"/>
    <w:rsid w:val="00B81C6B"/>
    <w:rsid w:val="00B81D55"/>
    <w:rsid w:val="00B81FE1"/>
    <w:rsid w:val="00B82057"/>
    <w:rsid w:val="00B82139"/>
    <w:rsid w:val="00B8225D"/>
    <w:rsid w:val="00B82553"/>
    <w:rsid w:val="00B826D8"/>
    <w:rsid w:val="00B82732"/>
    <w:rsid w:val="00B82740"/>
    <w:rsid w:val="00B828D1"/>
    <w:rsid w:val="00B82922"/>
    <w:rsid w:val="00B82AD2"/>
    <w:rsid w:val="00B82CC7"/>
    <w:rsid w:val="00B82CE9"/>
    <w:rsid w:val="00B82E37"/>
    <w:rsid w:val="00B82F8D"/>
    <w:rsid w:val="00B8306E"/>
    <w:rsid w:val="00B83172"/>
    <w:rsid w:val="00B832AF"/>
    <w:rsid w:val="00B833DE"/>
    <w:rsid w:val="00B833EE"/>
    <w:rsid w:val="00B837D4"/>
    <w:rsid w:val="00B8381B"/>
    <w:rsid w:val="00B83AFF"/>
    <w:rsid w:val="00B83B96"/>
    <w:rsid w:val="00B83BCE"/>
    <w:rsid w:val="00B83BE4"/>
    <w:rsid w:val="00B83C2C"/>
    <w:rsid w:val="00B83DE6"/>
    <w:rsid w:val="00B83E7E"/>
    <w:rsid w:val="00B83FDE"/>
    <w:rsid w:val="00B83FFD"/>
    <w:rsid w:val="00B840CE"/>
    <w:rsid w:val="00B8431F"/>
    <w:rsid w:val="00B84476"/>
    <w:rsid w:val="00B8448D"/>
    <w:rsid w:val="00B845BA"/>
    <w:rsid w:val="00B84602"/>
    <w:rsid w:val="00B847ED"/>
    <w:rsid w:val="00B8483D"/>
    <w:rsid w:val="00B84915"/>
    <w:rsid w:val="00B8491B"/>
    <w:rsid w:val="00B849B6"/>
    <w:rsid w:val="00B849CC"/>
    <w:rsid w:val="00B849D3"/>
    <w:rsid w:val="00B849FE"/>
    <w:rsid w:val="00B84AB5"/>
    <w:rsid w:val="00B84B72"/>
    <w:rsid w:val="00B84B9B"/>
    <w:rsid w:val="00B84C11"/>
    <w:rsid w:val="00B84D70"/>
    <w:rsid w:val="00B84DFF"/>
    <w:rsid w:val="00B84E02"/>
    <w:rsid w:val="00B85134"/>
    <w:rsid w:val="00B85212"/>
    <w:rsid w:val="00B853D8"/>
    <w:rsid w:val="00B85649"/>
    <w:rsid w:val="00B857B0"/>
    <w:rsid w:val="00B85829"/>
    <w:rsid w:val="00B8592D"/>
    <w:rsid w:val="00B85984"/>
    <w:rsid w:val="00B85C61"/>
    <w:rsid w:val="00B85D2C"/>
    <w:rsid w:val="00B85DC7"/>
    <w:rsid w:val="00B85E3F"/>
    <w:rsid w:val="00B85E4B"/>
    <w:rsid w:val="00B85E89"/>
    <w:rsid w:val="00B85FDC"/>
    <w:rsid w:val="00B86006"/>
    <w:rsid w:val="00B862FD"/>
    <w:rsid w:val="00B86464"/>
    <w:rsid w:val="00B866D0"/>
    <w:rsid w:val="00B86730"/>
    <w:rsid w:val="00B86746"/>
    <w:rsid w:val="00B86794"/>
    <w:rsid w:val="00B868A1"/>
    <w:rsid w:val="00B86B6F"/>
    <w:rsid w:val="00B86CF6"/>
    <w:rsid w:val="00B86E05"/>
    <w:rsid w:val="00B86F19"/>
    <w:rsid w:val="00B86F51"/>
    <w:rsid w:val="00B86FA3"/>
    <w:rsid w:val="00B87111"/>
    <w:rsid w:val="00B87114"/>
    <w:rsid w:val="00B87125"/>
    <w:rsid w:val="00B87574"/>
    <w:rsid w:val="00B87587"/>
    <w:rsid w:val="00B8759E"/>
    <w:rsid w:val="00B87729"/>
    <w:rsid w:val="00B8778C"/>
    <w:rsid w:val="00B877AE"/>
    <w:rsid w:val="00B878F6"/>
    <w:rsid w:val="00B87911"/>
    <w:rsid w:val="00B87927"/>
    <w:rsid w:val="00B87940"/>
    <w:rsid w:val="00B87A44"/>
    <w:rsid w:val="00B87AD6"/>
    <w:rsid w:val="00B87B98"/>
    <w:rsid w:val="00B87CC6"/>
    <w:rsid w:val="00B87FD4"/>
    <w:rsid w:val="00B900D7"/>
    <w:rsid w:val="00B90386"/>
    <w:rsid w:val="00B9044B"/>
    <w:rsid w:val="00B90477"/>
    <w:rsid w:val="00B904FC"/>
    <w:rsid w:val="00B9068D"/>
    <w:rsid w:val="00B90782"/>
    <w:rsid w:val="00B90B3A"/>
    <w:rsid w:val="00B90BE7"/>
    <w:rsid w:val="00B90C6F"/>
    <w:rsid w:val="00B90D7C"/>
    <w:rsid w:val="00B90F00"/>
    <w:rsid w:val="00B90F41"/>
    <w:rsid w:val="00B910B2"/>
    <w:rsid w:val="00B91179"/>
    <w:rsid w:val="00B9144F"/>
    <w:rsid w:val="00B914E3"/>
    <w:rsid w:val="00B9166A"/>
    <w:rsid w:val="00B9193C"/>
    <w:rsid w:val="00B91A76"/>
    <w:rsid w:val="00B91AA3"/>
    <w:rsid w:val="00B91BB6"/>
    <w:rsid w:val="00B91C06"/>
    <w:rsid w:val="00B91F13"/>
    <w:rsid w:val="00B92104"/>
    <w:rsid w:val="00B921D8"/>
    <w:rsid w:val="00B923FB"/>
    <w:rsid w:val="00B92480"/>
    <w:rsid w:val="00B9253D"/>
    <w:rsid w:val="00B9256C"/>
    <w:rsid w:val="00B925A5"/>
    <w:rsid w:val="00B9269B"/>
    <w:rsid w:val="00B927F2"/>
    <w:rsid w:val="00B92988"/>
    <w:rsid w:val="00B92A23"/>
    <w:rsid w:val="00B92AE7"/>
    <w:rsid w:val="00B92BCA"/>
    <w:rsid w:val="00B92CC0"/>
    <w:rsid w:val="00B92CF6"/>
    <w:rsid w:val="00B92E98"/>
    <w:rsid w:val="00B92ECA"/>
    <w:rsid w:val="00B92EDE"/>
    <w:rsid w:val="00B93006"/>
    <w:rsid w:val="00B93014"/>
    <w:rsid w:val="00B930AD"/>
    <w:rsid w:val="00B93266"/>
    <w:rsid w:val="00B9334E"/>
    <w:rsid w:val="00B934A8"/>
    <w:rsid w:val="00B9355D"/>
    <w:rsid w:val="00B9356C"/>
    <w:rsid w:val="00B93586"/>
    <w:rsid w:val="00B935DB"/>
    <w:rsid w:val="00B93680"/>
    <w:rsid w:val="00B93695"/>
    <w:rsid w:val="00B93742"/>
    <w:rsid w:val="00B937E1"/>
    <w:rsid w:val="00B9388B"/>
    <w:rsid w:val="00B938E7"/>
    <w:rsid w:val="00B93981"/>
    <w:rsid w:val="00B939C3"/>
    <w:rsid w:val="00B939D4"/>
    <w:rsid w:val="00B93A9B"/>
    <w:rsid w:val="00B93AD8"/>
    <w:rsid w:val="00B93BA4"/>
    <w:rsid w:val="00B93C7A"/>
    <w:rsid w:val="00B93CC7"/>
    <w:rsid w:val="00B93E44"/>
    <w:rsid w:val="00B93EFB"/>
    <w:rsid w:val="00B943BB"/>
    <w:rsid w:val="00B9441A"/>
    <w:rsid w:val="00B944EE"/>
    <w:rsid w:val="00B946E5"/>
    <w:rsid w:val="00B94767"/>
    <w:rsid w:val="00B94775"/>
    <w:rsid w:val="00B948E0"/>
    <w:rsid w:val="00B94A2C"/>
    <w:rsid w:val="00B94AB2"/>
    <w:rsid w:val="00B94AD1"/>
    <w:rsid w:val="00B94AD6"/>
    <w:rsid w:val="00B94DA5"/>
    <w:rsid w:val="00B94E05"/>
    <w:rsid w:val="00B94E7A"/>
    <w:rsid w:val="00B94EA1"/>
    <w:rsid w:val="00B94ED7"/>
    <w:rsid w:val="00B94F53"/>
    <w:rsid w:val="00B9505E"/>
    <w:rsid w:val="00B950DF"/>
    <w:rsid w:val="00B9531F"/>
    <w:rsid w:val="00B9532F"/>
    <w:rsid w:val="00B953A3"/>
    <w:rsid w:val="00B954C5"/>
    <w:rsid w:val="00B954DA"/>
    <w:rsid w:val="00B95528"/>
    <w:rsid w:val="00B95570"/>
    <w:rsid w:val="00B955A3"/>
    <w:rsid w:val="00B956E6"/>
    <w:rsid w:val="00B957BD"/>
    <w:rsid w:val="00B957D3"/>
    <w:rsid w:val="00B957D6"/>
    <w:rsid w:val="00B95822"/>
    <w:rsid w:val="00B958FD"/>
    <w:rsid w:val="00B95A69"/>
    <w:rsid w:val="00B95A81"/>
    <w:rsid w:val="00B95BD4"/>
    <w:rsid w:val="00B95C5D"/>
    <w:rsid w:val="00B95CC1"/>
    <w:rsid w:val="00B95E96"/>
    <w:rsid w:val="00B9609A"/>
    <w:rsid w:val="00B9624F"/>
    <w:rsid w:val="00B9627A"/>
    <w:rsid w:val="00B967A6"/>
    <w:rsid w:val="00B96829"/>
    <w:rsid w:val="00B969B1"/>
    <w:rsid w:val="00B96ADC"/>
    <w:rsid w:val="00B96B88"/>
    <w:rsid w:val="00B96BAC"/>
    <w:rsid w:val="00B96BDC"/>
    <w:rsid w:val="00B96C30"/>
    <w:rsid w:val="00B96CB0"/>
    <w:rsid w:val="00B96CE1"/>
    <w:rsid w:val="00B96EEE"/>
    <w:rsid w:val="00B9715D"/>
    <w:rsid w:val="00B97438"/>
    <w:rsid w:val="00B97611"/>
    <w:rsid w:val="00B97623"/>
    <w:rsid w:val="00B976E1"/>
    <w:rsid w:val="00B97919"/>
    <w:rsid w:val="00B97B29"/>
    <w:rsid w:val="00B97EA3"/>
    <w:rsid w:val="00B97EC7"/>
    <w:rsid w:val="00B97EEC"/>
    <w:rsid w:val="00B97F93"/>
    <w:rsid w:val="00BA021D"/>
    <w:rsid w:val="00BA0335"/>
    <w:rsid w:val="00BA034E"/>
    <w:rsid w:val="00BA038E"/>
    <w:rsid w:val="00BA0568"/>
    <w:rsid w:val="00BA05C7"/>
    <w:rsid w:val="00BA07D4"/>
    <w:rsid w:val="00BA0A62"/>
    <w:rsid w:val="00BA0AA8"/>
    <w:rsid w:val="00BA0ACC"/>
    <w:rsid w:val="00BA0BAB"/>
    <w:rsid w:val="00BA0C48"/>
    <w:rsid w:val="00BA0FA0"/>
    <w:rsid w:val="00BA0FD7"/>
    <w:rsid w:val="00BA1011"/>
    <w:rsid w:val="00BA1073"/>
    <w:rsid w:val="00BA10AF"/>
    <w:rsid w:val="00BA1186"/>
    <w:rsid w:val="00BA13B0"/>
    <w:rsid w:val="00BA13D8"/>
    <w:rsid w:val="00BA13FB"/>
    <w:rsid w:val="00BA140D"/>
    <w:rsid w:val="00BA14B9"/>
    <w:rsid w:val="00BA1745"/>
    <w:rsid w:val="00BA179F"/>
    <w:rsid w:val="00BA1841"/>
    <w:rsid w:val="00BA186C"/>
    <w:rsid w:val="00BA18E4"/>
    <w:rsid w:val="00BA1936"/>
    <w:rsid w:val="00BA1966"/>
    <w:rsid w:val="00BA1C87"/>
    <w:rsid w:val="00BA1D8F"/>
    <w:rsid w:val="00BA1E93"/>
    <w:rsid w:val="00BA1F48"/>
    <w:rsid w:val="00BA1FB8"/>
    <w:rsid w:val="00BA20CF"/>
    <w:rsid w:val="00BA21D0"/>
    <w:rsid w:val="00BA25B3"/>
    <w:rsid w:val="00BA2637"/>
    <w:rsid w:val="00BA26AB"/>
    <w:rsid w:val="00BA2710"/>
    <w:rsid w:val="00BA2722"/>
    <w:rsid w:val="00BA27D7"/>
    <w:rsid w:val="00BA2837"/>
    <w:rsid w:val="00BA2878"/>
    <w:rsid w:val="00BA29D5"/>
    <w:rsid w:val="00BA2AC3"/>
    <w:rsid w:val="00BA2BFF"/>
    <w:rsid w:val="00BA2D2F"/>
    <w:rsid w:val="00BA2DE4"/>
    <w:rsid w:val="00BA2DEE"/>
    <w:rsid w:val="00BA2EC3"/>
    <w:rsid w:val="00BA2ED5"/>
    <w:rsid w:val="00BA2F5E"/>
    <w:rsid w:val="00BA2F7B"/>
    <w:rsid w:val="00BA30E1"/>
    <w:rsid w:val="00BA31F4"/>
    <w:rsid w:val="00BA32ED"/>
    <w:rsid w:val="00BA33F8"/>
    <w:rsid w:val="00BA3463"/>
    <w:rsid w:val="00BA37A0"/>
    <w:rsid w:val="00BA3866"/>
    <w:rsid w:val="00BA3A5A"/>
    <w:rsid w:val="00BA3C28"/>
    <w:rsid w:val="00BA3C8F"/>
    <w:rsid w:val="00BA3CC4"/>
    <w:rsid w:val="00BA3CCC"/>
    <w:rsid w:val="00BA3CF6"/>
    <w:rsid w:val="00BA3D07"/>
    <w:rsid w:val="00BA3D1C"/>
    <w:rsid w:val="00BA3DAB"/>
    <w:rsid w:val="00BA3E78"/>
    <w:rsid w:val="00BA3E98"/>
    <w:rsid w:val="00BA3EE7"/>
    <w:rsid w:val="00BA3FD4"/>
    <w:rsid w:val="00BA4090"/>
    <w:rsid w:val="00BA4164"/>
    <w:rsid w:val="00BA41E2"/>
    <w:rsid w:val="00BA41E6"/>
    <w:rsid w:val="00BA4441"/>
    <w:rsid w:val="00BA47A7"/>
    <w:rsid w:val="00BA48D6"/>
    <w:rsid w:val="00BA4940"/>
    <w:rsid w:val="00BA4A16"/>
    <w:rsid w:val="00BA4A92"/>
    <w:rsid w:val="00BA4AB8"/>
    <w:rsid w:val="00BA4BA7"/>
    <w:rsid w:val="00BA4CDE"/>
    <w:rsid w:val="00BA4DE3"/>
    <w:rsid w:val="00BA4DEF"/>
    <w:rsid w:val="00BA4E85"/>
    <w:rsid w:val="00BA4EA8"/>
    <w:rsid w:val="00BA4EC9"/>
    <w:rsid w:val="00BA4ECE"/>
    <w:rsid w:val="00BA50D6"/>
    <w:rsid w:val="00BA5279"/>
    <w:rsid w:val="00BA53AE"/>
    <w:rsid w:val="00BA5558"/>
    <w:rsid w:val="00BA57F6"/>
    <w:rsid w:val="00BA59E6"/>
    <w:rsid w:val="00BA5A93"/>
    <w:rsid w:val="00BA5AE9"/>
    <w:rsid w:val="00BA5BD8"/>
    <w:rsid w:val="00BA5C7B"/>
    <w:rsid w:val="00BA5C84"/>
    <w:rsid w:val="00BA5DDD"/>
    <w:rsid w:val="00BA5E26"/>
    <w:rsid w:val="00BA60A7"/>
    <w:rsid w:val="00BA6135"/>
    <w:rsid w:val="00BA643E"/>
    <w:rsid w:val="00BA68FD"/>
    <w:rsid w:val="00BA6973"/>
    <w:rsid w:val="00BA697F"/>
    <w:rsid w:val="00BA69F2"/>
    <w:rsid w:val="00BA6B84"/>
    <w:rsid w:val="00BA6C15"/>
    <w:rsid w:val="00BA6E1A"/>
    <w:rsid w:val="00BA6E41"/>
    <w:rsid w:val="00BA6F8C"/>
    <w:rsid w:val="00BA70D7"/>
    <w:rsid w:val="00BA71A2"/>
    <w:rsid w:val="00BA71AE"/>
    <w:rsid w:val="00BA71AF"/>
    <w:rsid w:val="00BA71B4"/>
    <w:rsid w:val="00BA7238"/>
    <w:rsid w:val="00BA73D9"/>
    <w:rsid w:val="00BA7490"/>
    <w:rsid w:val="00BA7508"/>
    <w:rsid w:val="00BA76A1"/>
    <w:rsid w:val="00BA783C"/>
    <w:rsid w:val="00BA7859"/>
    <w:rsid w:val="00BA78BA"/>
    <w:rsid w:val="00BA7B65"/>
    <w:rsid w:val="00BA7C57"/>
    <w:rsid w:val="00BA7CB6"/>
    <w:rsid w:val="00BA7D49"/>
    <w:rsid w:val="00BA7DE6"/>
    <w:rsid w:val="00BA7E15"/>
    <w:rsid w:val="00BA7E96"/>
    <w:rsid w:val="00BA7EFE"/>
    <w:rsid w:val="00BB00F3"/>
    <w:rsid w:val="00BB0145"/>
    <w:rsid w:val="00BB019A"/>
    <w:rsid w:val="00BB01A5"/>
    <w:rsid w:val="00BB029A"/>
    <w:rsid w:val="00BB03BC"/>
    <w:rsid w:val="00BB0505"/>
    <w:rsid w:val="00BB06CA"/>
    <w:rsid w:val="00BB0756"/>
    <w:rsid w:val="00BB0AC9"/>
    <w:rsid w:val="00BB0B45"/>
    <w:rsid w:val="00BB0B55"/>
    <w:rsid w:val="00BB0CD4"/>
    <w:rsid w:val="00BB0D54"/>
    <w:rsid w:val="00BB0D70"/>
    <w:rsid w:val="00BB0E66"/>
    <w:rsid w:val="00BB0F37"/>
    <w:rsid w:val="00BB1040"/>
    <w:rsid w:val="00BB11A1"/>
    <w:rsid w:val="00BB1224"/>
    <w:rsid w:val="00BB122C"/>
    <w:rsid w:val="00BB13BC"/>
    <w:rsid w:val="00BB13EB"/>
    <w:rsid w:val="00BB145B"/>
    <w:rsid w:val="00BB1619"/>
    <w:rsid w:val="00BB163A"/>
    <w:rsid w:val="00BB1680"/>
    <w:rsid w:val="00BB16AA"/>
    <w:rsid w:val="00BB16F9"/>
    <w:rsid w:val="00BB179F"/>
    <w:rsid w:val="00BB18E3"/>
    <w:rsid w:val="00BB18E8"/>
    <w:rsid w:val="00BB1ADE"/>
    <w:rsid w:val="00BB1B1C"/>
    <w:rsid w:val="00BB1B90"/>
    <w:rsid w:val="00BB1C6D"/>
    <w:rsid w:val="00BB1C9E"/>
    <w:rsid w:val="00BB1CD3"/>
    <w:rsid w:val="00BB1D63"/>
    <w:rsid w:val="00BB1DE9"/>
    <w:rsid w:val="00BB1E1A"/>
    <w:rsid w:val="00BB1E65"/>
    <w:rsid w:val="00BB1EF7"/>
    <w:rsid w:val="00BB1F59"/>
    <w:rsid w:val="00BB1FF7"/>
    <w:rsid w:val="00BB2040"/>
    <w:rsid w:val="00BB2115"/>
    <w:rsid w:val="00BB21B5"/>
    <w:rsid w:val="00BB2301"/>
    <w:rsid w:val="00BB230E"/>
    <w:rsid w:val="00BB2347"/>
    <w:rsid w:val="00BB2370"/>
    <w:rsid w:val="00BB2488"/>
    <w:rsid w:val="00BB24F0"/>
    <w:rsid w:val="00BB2501"/>
    <w:rsid w:val="00BB2544"/>
    <w:rsid w:val="00BB2625"/>
    <w:rsid w:val="00BB27C1"/>
    <w:rsid w:val="00BB2804"/>
    <w:rsid w:val="00BB28B1"/>
    <w:rsid w:val="00BB29E5"/>
    <w:rsid w:val="00BB2AE6"/>
    <w:rsid w:val="00BB2B73"/>
    <w:rsid w:val="00BB2BDF"/>
    <w:rsid w:val="00BB2C4C"/>
    <w:rsid w:val="00BB2EDE"/>
    <w:rsid w:val="00BB2FF6"/>
    <w:rsid w:val="00BB3184"/>
    <w:rsid w:val="00BB319A"/>
    <w:rsid w:val="00BB3296"/>
    <w:rsid w:val="00BB3358"/>
    <w:rsid w:val="00BB3437"/>
    <w:rsid w:val="00BB34CC"/>
    <w:rsid w:val="00BB36CC"/>
    <w:rsid w:val="00BB37A7"/>
    <w:rsid w:val="00BB37C1"/>
    <w:rsid w:val="00BB37D9"/>
    <w:rsid w:val="00BB3985"/>
    <w:rsid w:val="00BB39C8"/>
    <w:rsid w:val="00BB39FB"/>
    <w:rsid w:val="00BB3A43"/>
    <w:rsid w:val="00BB3A7D"/>
    <w:rsid w:val="00BB3C3F"/>
    <w:rsid w:val="00BB3C53"/>
    <w:rsid w:val="00BB3DD6"/>
    <w:rsid w:val="00BB3DF7"/>
    <w:rsid w:val="00BB3E20"/>
    <w:rsid w:val="00BB3ECE"/>
    <w:rsid w:val="00BB3F2E"/>
    <w:rsid w:val="00BB3F6A"/>
    <w:rsid w:val="00BB4067"/>
    <w:rsid w:val="00BB40D1"/>
    <w:rsid w:val="00BB4347"/>
    <w:rsid w:val="00BB43DF"/>
    <w:rsid w:val="00BB445B"/>
    <w:rsid w:val="00BB4588"/>
    <w:rsid w:val="00BB46A5"/>
    <w:rsid w:val="00BB47EA"/>
    <w:rsid w:val="00BB47F0"/>
    <w:rsid w:val="00BB4854"/>
    <w:rsid w:val="00BB4881"/>
    <w:rsid w:val="00BB493F"/>
    <w:rsid w:val="00BB49F4"/>
    <w:rsid w:val="00BB4A5C"/>
    <w:rsid w:val="00BB4A8B"/>
    <w:rsid w:val="00BB4B52"/>
    <w:rsid w:val="00BB4C01"/>
    <w:rsid w:val="00BB4D01"/>
    <w:rsid w:val="00BB4E7F"/>
    <w:rsid w:val="00BB4F48"/>
    <w:rsid w:val="00BB513C"/>
    <w:rsid w:val="00BB5315"/>
    <w:rsid w:val="00BB53B5"/>
    <w:rsid w:val="00BB5425"/>
    <w:rsid w:val="00BB5489"/>
    <w:rsid w:val="00BB55AE"/>
    <w:rsid w:val="00BB55D6"/>
    <w:rsid w:val="00BB5626"/>
    <w:rsid w:val="00BB56A4"/>
    <w:rsid w:val="00BB572C"/>
    <w:rsid w:val="00BB59D1"/>
    <w:rsid w:val="00BB5B72"/>
    <w:rsid w:val="00BB5FA9"/>
    <w:rsid w:val="00BB6129"/>
    <w:rsid w:val="00BB6180"/>
    <w:rsid w:val="00BB6188"/>
    <w:rsid w:val="00BB61E0"/>
    <w:rsid w:val="00BB63B5"/>
    <w:rsid w:val="00BB6494"/>
    <w:rsid w:val="00BB6496"/>
    <w:rsid w:val="00BB65F0"/>
    <w:rsid w:val="00BB67AF"/>
    <w:rsid w:val="00BB685B"/>
    <w:rsid w:val="00BB6949"/>
    <w:rsid w:val="00BB69AD"/>
    <w:rsid w:val="00BB69F6"/>
    <w:rsid w:val="00BB6B45"/>
    <w:rsid w:val="00BB6B8F"/>
    <w:rsid w:val="00BB6DD0"/>
    <w:rsid w:val="00BB6DE3"/>
    <w:rsid w:val="00BB6DF2"/>
    <w:rsid w:val="00BB6E2A"/>
    <w:rsid w:val="00BB6F23"/>
    <w:rsid w:val="00BB6FAB"/>
    <w:rsid w:val="00BB708C"/>
    <w:rsid w:val="00BB70C0"/>
    <w:rsid w:val="00BB7309"/>
    <w:rsid w:val="00BB7523"/>
    <w:rsid w:val="00BB7768"/>
    <w:rsid w:val="00BB7795"/>
    <w:rsid w:val="00BB789A"/>
    <w:rsid w:val="00BB78A0"/>
    <w:rsid w:val="00BB78C0"/>
    <w:rsid w:val="00BB7A19"/>
    <w:rsid w:val="00BB7A27"/>
    <w:rsid w:val="00BB7A5B"/>
    <w:rsid w:val="00BB7ACC"/>
    <w:rsid w:val="00BB7AF1"/>
    <w:rsid w:val="00BB7BF3"/>
    <w:rsid w:val="00BB7C0B"/>
    <w:rsid w:val="00BB7DC5"/>
    <w:rsid w:val="00BB7E12"/>
    <w:rsid w:val="00BB7F20"/>
    <w:rsid w:val="00BC01D0"/>
    <w:rsid w:val="00BC01EB"/>
    <w:rsid w:val="00BC0363"/>
    <w:rsid w:val="00BC038A"/>
    <w:rsid w:val="00BC04A4"/>
    <w:rsid w:val="00BC05F8"/>
    <w:rsid w:val="00BC060E"/>
    <w:rsid w:val="00BC0684"/>
    <w:rsid w:val="00BC082E"/>
    <w:rsid w:val="00BC08D4"/>
    <w:rsid w:val="00BC097D"/>
    <w:rsid w:val="00BC0A0F"/>
    <w:rsid w:val="00BC0AD1"/>
    <w:rsid w:val="00BC0BF9"/>
    <w:rsid w:val="00BC0C18"/>
    <w:rsid w:val="00BC0D40"/>
    <w:rsid w:val="00BC0D4C"/>
    <w:rsid w:val="00BC0EC3"/>
    <w:rsid w:val="00BC0F2B"/>
    <w:rsid w:val="00BC0F62"/>
    <w:rsid w:val="00BC0FB7"/>
    <w:rsid w:val="00BC0FF8"/>
    <w:rsid w:val="00BC113C"/>
    <w:rsid w:val="00BC119B"/>
    <w:rsid w:val="00BC11B3"/>
    <w:rsid w:val="00BC1222"/>
    <w:rsid w:val="00BC132A"/>
    <w:rsid w:val="00BC1390"/>
    <w:rsid w:val="00BC142A"/>
    <w:rsid w:val="00BC15B8"/>
    <w:rsid w:val="00BC15CF"/>
    <w:rsid w:val="00BC16BB"/>
    <w:rsid w:val="00BC197C"/>
    <w:rsid w:val="00BC19D0"/>
    <w:rsid w:val="00BC1A31"/>
    <w:rsid w:val="00BC1A84"/>
    <w:rsid w:val="00BC1DA3"/>
    <w:rsid w:val="00BC1FC8"/>
    <w:rsid w:val="00BC2099"/>
    <w:rsid w:val="00BC2123"/>
    <w:rsid w:val="00BC231C"/>
    <w:rsid w:val="00BC232F"/>
    <w:rsid w:val="00BC2429"/>
    <w:rsid w:val="00BC2645"/>
    <w:rsid w:val="00BC26F1"/>
    <w:rsid w:val="00BC26FB"/>
    <w:rsid w:val="00BC2773"/>
    <w:rsid w:val="00BC285B"/>
    <w:rsid w:val="00BC28D7"/>
    <w:rsid w:val="00BC2A18"/>
    <w:rsid w:val="00BC2A6F"/>
    <w:rsid w:val="00BC2B09"/>
    <w:rsid w:val="00BC2B7E"/>
    <w:rsid w:val="00BC2BD7"/>
    <w:rsid w:val="00BC2D42"/>
    <w:rsid w:val="00BC2F2F"/>
    <w:rsid w:val="00BC2F86"/>
    <w:rsid w:val="00BC30F6"/>
    <w:rsid w:val="00BC31EF"/>
    <w:rsid w:val="00BC329C"/>
    <w:rsid w:val="00BC354D"/>
    <w:rsid w:val="00BC35D2"/>
    <w:rsid w:val="00BC363B"/>
    <w:rsid w:val="00BC363D"/>
    <w:rsid w:val="00BC3695"/>
    <w:rsid w:val="00BC38EF"/>
    <w:rsid w:val="00BC3A53"/>
    <w:rsid w:val="00BC3AC7"/>
    <w:rsid w:val="00BC3B68"/>
    <w:rsid w:val="00BC3BED"/>
    <w:rsid w:val="00BC3C00"/>
    <w:rsid w:val="00BC3D54"/>
    <w:rsid w:val="00BC3FB6"/>
    <w:rsid w:val="00BC4012"/>
    <w:rsid w:val="00BC4029"/>
    <w:rsid w:val="00BC409F"/>
    <w:rsid w:val="00BC423F"/>
    <w:rsid w:val="00BC43BB"/>
    <w:rsid w:val="00BC442F"/>
    <w:rsid w:val="00BC4518"/>
    <w:rsid w:val="00BC4562"/>
    <w:rsid w:val="00BC45B9"/>
    <w:rsid w:val="00BC45DD"/>
    <w:rsid w:val="00BC4669"/>
    <w:rsid w:val="00BC4880"/>
    <w:rsid w:val="00BC4B17"/>
    <w:rsid w:val="00BC4C8D"/>
    <w:rsid w:val="00BC4E04"/>
    <w:rsid w:val="00BC4E46"/>
    <w:rsid w:val="00BC4EDA"/>
    <w:rsid w:val="00BC4FD7"/>
    <w:rsid w:val="00BC5089"/>
    <w:rsid w:val="00BC511C"/>
    <w:rsid w:val="00BC5396"/>
    <w:rsid w:val="00BC543C"/>
    <w:rsid w:val="00BC56FA"/>
    <w:rsid w:val="00BC5797"/>
    <w:rsid w:val="00BC57A1"/>
    <w:rsid w:val="00BC58EA"/>
    <w:rsid w:val="00BC592E"/>
    <w:rsid w:val="00BC5B35"/>
    <w:rsid w:val="00BC5B67"/>
    <w:rsid w:val="00BC5BEF"/>
    <w:rsid w:val="00BC5C9C"/>
    <w:rsid w:val="00BC5DAA"/>
    <w:rsid w:val="00BC5F81"/>
    <w:rsid w:val="00BC60F9"/>
    <w:rsid w:val="00BC633E"/>
    <w:rsid w:val="00BC637D"/>
    <w:rsid w:val="00BC64EE"/>
    <w:rsid w:val="00BC64FE"/>
    <w:rsid w:val="00BC65B3"/>
    <w:rsid w:val="00BC666B"/>
    <w:rsid w:val="00BC69CB"/>
    <w:rsid w:val="00BC6BB6"/>
    <w:rsid w:val="00BC6C0F"/>
    <w:rsid w:val="00BC6C2F"/>
    <w:rsid w:val="00BC6C61"/>
    <w:rsid w:val="00BC6CF9"/>
    <w:rsid w:val="00BC6E69"/>
    <w:rsid w:val="00BC7080"/>
    <w:rsid w:val="00BC729C"/>
    <w:rsid w:val="00BC73F1"/>
    <w:rsid w:val="00BC74E6"/>
    <w:rsid w:val="00BC759E"/>
    <w:rsid w:val="00BC75B6"/>
    <w:rsid w:val="00BC76F1"/>
    <w:rsid w:val="00BC7A61"/>
    <w:rsid w:val="00BC7AA0"/>
    <w:rsid w:val="00BC7B20"/>
    <w:rsid w:val="00BC7B4E"/>
    <w:rsid w:val="00BC7BFA"/>
    <w:rsid w:val="00BC7CA1"/>
    <w:rsid w:val="00BC7CCD"/>
    <w:rsid w:val="00BC7D6B"/>
    <w:rsid w:val="00BC7D9D"/>
    <w:rsid w:val="00BC7DB3"/>
    <w:rsid w:val="00BC7DF1"/>
    <w:rsid w:val="00BC7DFF"/>
    <w:rsid w:val="00BD00C6"/>
    <w:rsid w:val="00BD02C5"/>
    <w:rsid w:val="00BD0330"/>
    <w:rsid w:val="00BD03F4"/>
    <w:rsid w:val="00BD0666"/>
    <w:rsid w:val="00BD06D4"/>
    <w:rsid w:val="00BD0722"/>
    <w:rsid w:val="00BD0823"/>
    <w:rsid w:val="00BD08B1"/>
    <w:rsid w:val="00BD094E"/>
    <w:rsid w:val="00BD0A00"/>
    <w:rsid w:val="00BD0BC7"/>
    <w:rsid w:val="00BD0C42"/>
    <w:rsid w:val="00BD0C4E"/>
    <w:rsid w:val="00BD0CA7"/>
    <w:rsid w:val="00BD0CE7"/>
    <w:rsid w:val="00BD0E16"/>
    <w:rsid w:val="00BD0F5B"/>
    <w:rsid w:val="00BD1053"/>
    <w:rsid w:val="00BD108B"/>
    <w:rsid w:val="00BD1194"/>
    <w:rsid w:val="00BD119B"/>
    <w:rsid w:val="00BD1202"/>
    <w:rsid w:val="00BD1217"/>
    <w:rsid w:val="00BD12C4"/>
    <w:rsid w:val="00BD12FA"/>
    <w:rsid w:val="00BD13AA"/>
    <w:rsid w:val="00BD14CA"/>
    <w:rsid w:val="00BD14D8"/>
    <w:rsid w:val="00BD152D"/>
    <w:rsid w:val="00BD1559"/>
    <w:rsid w:val="00BD158F"/>
    <w:rsid w:val="00BD1594"/>
    <w:rsid w:val="00BD1716"/>
    <w:rsid w:val="00BD1725"/>
    <w:rsid w:val="00BD1734"/>
    <w:rsid w:val="00BD1845"/>
    <w:rsid w:val="00BD1895"/>
    <w:rsid w:val="00BD1922"/>
    <w:rsid w:val="00BD199C"/>
    <w:rsid w:val="00BD1A46"/>
    <w:rsid w:val="00BD1AC8"/>
    <w:rsid w:val="00BD1B94"/>
    <w:rsid w:val="00BD1C79"/>
    <w:rsid w:val="00BD1D44"/>
    <w:rsid w:val="00BD1D91"/>
    <w:rsid w:val="00BD1DB5"/>
    <w:rsid w:val="00BD205C"/>
    <w:rsid w:val="00BD20AC"/>
    <w:rsid w:val="00BD2131"/>
    <w:rsid w:val="00BD2453"/>
    <w:rsid w:val="00BD2549"/>
    <w:rsid w:val="00BD2643"/>
    <w:rsid w:val="00BD26AA"/>
    <w:rsid w:val="00BD278D"/>
    <w:rsid w:val="00BD283F"/>
    <w:rsid w:val="00BD2991"/>
    <w:rsid w:val="00BD2A26"/>
    <w:rsid w:val="00BD2AE7"/>
    <w:rsid w:val="00BD2B12"/>
    <w:rsid w:val="00BD2C64"/>
    <w:rsid w:val="00BD2CD6"/>
    <w:rsid w:val="00BD2CDB"/>
    <w:rsid w:val="00BD2D77"/>
    <w:rsid w:val="00BD2E16"/>
    <w:rsid w:val="00BD30F8"/>
    <w:rsid w:val="00BD321D"/>
    <w:rsid w:val="00BD326F"/>
    <w:rsid w:val="00BD32AA"/>
    <w:rsid w:val="00BD32B1"/>
    <w:rsid w:val="00BD335B"/>
    <w:rsid w:val="00BD35FA"/>
    <w:rsid w:val="00BD379C"/>
    <w:rsid w:val="00BD38A6"/>
    <w:rsid w:val="00BD3975"/>
    <w:rsid w:val="00BD3B3F"/>
    <w:rsid w:val="00BD3B90"/>
    <w:rsid w:val="00BD3BE0"/>
    <w:rsid w:val="00BD3C70"/>
    <w:rsid w:val="00BD3C8C"/>
    <w:rsid w:val="00BD3CF0"/>
    <w:rsid w:val="00BD3D47"/>
    <w:rsid w:val="00BD3E01"/>
    <w:rsid w:val="00BD3E02"/>
    <w:rsid w:val="00BD3ED8"/>
    <w:rsid w:val="00BD3F42"/>
    <w:rsid w:val="00BD3FD8"/>
    <w:rsid w:val="00BD415D"/>
    <w:rsid w:val="00BD4307"/>
    <w:rsid w:val="00BD4427"/>
    <w:rsid w:val="00BD454F"/>
    <w:rsid w:val="00BD46A7"/>
    <w:rsid w:val="00BD4931"/>
    <w:rsid w:val="00BD493B"/>
    <w:rsid w:val="00BD495C"/>
    <w:rsid w:val="00BD4963"/>
    <w:rsid w:val="00BD4A29"/>
    <w:rsid w:val="00BD4ABB"/>
    <w:rsid w:val="00BD4AFD"/>
    <w:rsid w:val="00BD4B1A"/>
    <w:rsid w:val="00BD4B28"/>
    <w:rsid w:val="00BD4BB6"/>
    <w:rsid w:val="00BD4D73"/>
    <w:rsid w:val="00BD4D93"/>
    <w:rsid w:val="00BD4E86"/>
    <w:rsid w:val="00BD5087"/>
    <w:rsid w:val="00BD516A"/>
    <w:rsid w:val="00BD518C"/>
    <w:rsid w:val="00BD51B2"/>
    <w:rsid w:val="00BD52D4"/>
    <w:rsid w:val="00BD531A"/>
    <w:rsid w:val="00BD53AA"/>
    <w:rsid w:val="00BD53E1"/>
    <w:rsid w:val="00BD543E"/>
    <w:rsid w:val="00BD564F"/>
    <w:rsid w:val="00BD5765"/>
    <w:rsid w:val="00BD57C9"/>
    <w:rsid w:val="00BD583F"/>
    <w:rsid w:val="00BD590B"/>
    <w:rsid w:val="00BD593A"/>
    <w:rsid w:val="00BD596A"/>
    <w:rsid w:val="00BD59D5"/>
    <w:rsid w:val="00BD59E8"/>
    <w:rsid w:val="00BD5A9C"/>
    <w:rsid w:val="00BD5CC3"/>
    <w:rsid w:val="00BD5E17"/>
    <w:rsid w:val="00BD5E19"/>
    <w:rsid w:val="00BD5E2A"/>
    <w:rsid w:val="00BD5F3C"/>
    <w:rsid w:val="00BD5FFC"/>
    <w:rsid w:val="00BD6018"/>
    <w:rsid w:val="00BD60E3"/>
    <w:rsid w:val="00BD61CD"/>
    <w:rsid w:val="00BD624C"/>
    <w:rsid w:val="00BD6256"/>
    <w:rsid w:val="00BD6291"/>
    <w:rsid w:val="00BD62B7"/>
    <w:rsid w:val="00BD62FD"/>
    <w:rsid w:val="00BD6313"/>
    <w:rsid w:val="00BD6448"/>
    <w:rsid w:val="00BD6450"/>
    <w:rsid w:val="00BD6656"/>
    <w:rsid w:val="00BD6669"/>
    <w:rsid w:val="00BD678B"/>
    <w:rsid w:val="00BD6878"/>
    <w:rsid w:val="00BD6A76"/>
    <w:rsid w:val="00BD6B0B"/>
    <w:rsid w:val="00BD6BC9"/>
    <w:rsid w:val="00BD6BD9"/>
    <w:rsid w:val="00BD6EF0"/>
    <w:rsid w:val="00BD6EF4"/>
    <w:rsid w:val="00BD6F49"/>
    <w:rsid w:val="00BD6FD1"/>
    <w:rsid w:val="00BD701E"/>
    <w:rsid w:val="00BD7028"/>
    <w:rsid w:val="00BD7031"/>
    <w:rsid w:val="00BD716E"/>
    <w:rsid w:val="00BD761B"/>
    <w:rsid w:val="00BD7621"/>
    <w:rsid w:val="00BD7636"/>
    <w:rsid w:val="00BD78B6"/>
    <w:rsid w:val="00BD78FF"/>
    <w:rsid w:val="00BD790D"/>
    <w:rsid w:val="00BD796C"/>
    <w:rsid w:val="00BD79B6"/>
    <w:rsid w:val="00BD7B13"/>
    <w:rsid w:val="00BD7DF3"/>
    <w:rsid w:val="00BD7E59"/>
    <w:rsid w:val="00BD7FAE"/>
    <w:rsid w:val="00BE0026"/>
    <w:rsid w:val="00BE0031"/>
    <w:rsid w:val="00BE0064"/>
    <w:rsid w:val="00BE00B9"/>
    <w:rsid w:val="00BE031D"/>
    <w:rsid w:val="00BE03AF"/>
    <w:rsid w:val="00BE05FA"/>
    <w:rsid w:val="00BE069D"/>
    <w:rsid w:val="00BE079A"/>
    <w:rsid w:val="00BE07AD"/>
    <w:rsid w:val="00BE08E4"/>
    <w:rsid w:val="00BE08F7"/>
    <w:rsid w:val="00BE0A9A"/>
    <w:rsid w:val="00BE0B89"/>
    <w:rsid w:val="00BE0BBD"/>
    <w:rsid w:val="00BE0BDA"/>
    <w:rsid w:val="00BE0BEE"/>
    <w:rsid w:val="00BE0C22"/>
    <w:rsid w:val="00BE0CD0"/>
    <w:rsid w:val="00BE0FD3"/>
    <w:rsid w:val="00BE100E"/>
    <w:rsid w:val="00BE1281"/>
    <w:rsid w:val="00BE13E0"/>
    <w:rsid w:val="00BE1471"/>
    <w:rsid w:val="00BE164B"/>
    <w:rsid w:val="00BE16F0"/>
    <w:rsid w:val="00BE185F"/>
    <w:rsid w:val="00BE1B16"/>
    <w:rsid w:val="00BE1B61"/>
    <w:rsid w:val="00BE1CB8"/>
    <w:rsid w:val="00BE1E60"/>
    <w:rsid w:val="00BE20C9"/>
    <w:rsid w:val="00BE222A"/>
    <w:rsid w:val="00BE22B5"/>
    <w:rsid w:val="00BE236E"/>
    <w:rsid w:val="00BE2681"/>
    <w:rsid w:val="00BE2A02"/>
    <w:rsid w:val="00BE2A10"/>
    <w:rsid w:val="00BE2A28"/>
    <w:rsid w:val="00BE2B1A"/>
    <w:rsid w:val="00BE2B9E"/>
    <w:rsid w:val="00BE2D4E"/>
    <w:rsid w:val="00BE2E36"/>
    <w:rsid w:val="00BE2FBF"/>
    <w:rsid w:val="00BE30B3"/>
    <w:rsid w:val="00BE316E"/>
    <w:rsid w:val="00BE316F"/>
    <w:rsid w:val="00BE3297"/>
    <w:rsid w:val="00BE362F"/>
    <w:rsid w:val="00BE3773"/>
    <w:rsid w:val="00BE3B39"/>
    <w:rsid w:val="00BE3C88"/>
    <w:rsid w:val="00BE3CA8"/>
    <w:rsid w:val="00BE3DA3"/>
    <w:rsid w:val="00BE3E40"/>
    <w:rsid w:val="00BE3E9B"/>
    <w:rsid w:val="00BE3F35"/>
    <w:rsid w:val="00BE3F9B"/>
    <w:rsid w:val="00BE3FC5"/>
    <w:rsid w:val="00BE417A"/>
    <w:rsid w:val="00BE417D"/>
    <w:rsid w:val="00BE4376"/>
    <w:rsid w:val="00BE44D1"/>
    <w:rsid w:val="00BE4504"/>
    <w:rsid w:val="00BE4566"/>
    <w:rsid w:val="00BE457A"/>
    <w:rsid w:val="00BE4607"/>
    <w:rsid w:val="00BE4795"/>
    <w:rsid w:val="00BE4850"/>
    <w:rsid w:val="00BE4A5C"/>
    <w:rsid w:val="00BE4A89"/>
    <w:rsid w:val="00BE4AA1"/>
    <w:rsid w:val="00BE4B0E"/>
    <w:rsid w:val="00BE4F58"/>
    <w:rsid w:val="00BE4FAD"/>
    <w:rsid w:val="00BE4FD6"/>
    <w:rsid w:val="00BE501C"/>
    <w:rsid w:val="00BE529C"/>
    <w:rsid w:val="00BE52AA"/>
    <w:rsid w:val="00BE52BD"/>
    <w:rsid w:val="00BE53C8"/>
    <w:rsid w:val="00BE540D"/>
    <w:rsid w:val="00BE5467"/>
    <w:rsid w:val="00BE54BA"/>
    <w:rsid w:val="00BE5505"/>
    <w:rsid w:val="00BE5537"/>
    <w:rsid w:val="00BE5701"/>
    <w:rsid w:val="00BE5715"/>
    <w:rsid w:val="00BE57E6"/>
    <w:rsid w:val="00BE5833"/>
    <w:rsid w:val="00BE587D"/>
    <w:rsid w:val="00BE5923"/>
    <w:rsid w:val="00BE5ADA"/>
    <w:rsid w:val="00BE5B67"/>
    <w:rsid w:val="00BE5CD2"/>
    <w:rsid w:val="00BE5D7A"/>
    <w:rsid w:val="00BE5EC2"/>
    <w:rsid w:val="00BE605A"/>
    <w:rsid w:val="00BE6134"/>
    <w:rsid w:val="00BE634E"/>
    <w:rsid w:val="00BE6455"/>
    <w:rsid w:val="00BE6768"/>
    <w:rsid w:val="00BE67A4"/>
    <w:rsid w:val="00BE6801"/>
    <w:rsid w:val="00BE6894"/>
    <w:rsid w:val="00BE696D"/>
    <w:rsid w:val="00BE69C9"/>
    <w:rsid w:val="00BE6D01"/>
    <w:rsid w:val="00BE6DE5"/>
    <w:rsid w:val="00BE6E4E"/>
    <w:rsid w:val="00BE6E6A"/>
    <w:rsid w:val="00BE708C"/>
    <w:rsid w:val="00BE709C"/>
    <w:rsid w:val="00BE70CC"/>
    <w:rsid w:val="00BE7154"/>
    <w:rsid w:val="00BE71A7"/>
    <w:rsid w:val="00BE71EE"/>
    <w:rsid w:val="00BE72B6"/>
    <w:rsid w:val="00BE74E2"/>
    <w:rsid w:val="00BE7657"/>
    <w:rsid w:val="00BE788F"/>
    <w:rsid w:val="00BE78A4"/>
    <w:rsid w:val="00BE7B23"/>
    <w:rsid w:val="00BE7C88"/>
    <w:rsid w:val="00BE7E15"/>
    <w:rsid w:val="00BE7E24"/>
    <w:rsid w:val="00BE7EA5"/>
    <w:rsid w:val="00BE7ED3"/>
    <w:rsid w:val="00BE7F0C"/>
    <w:rsid w:val="00BF0136"/>
    <w:rsid w:val="00BF0189"/>
    <w:rsid w:val="00BF03BF"/>
    <w:rsid w:val="00BF05FF"/>
    <w:rsid w:val="00BF076D"/>
    <w:rsid w:val="00BF0A45"/>
    <w:rsid w:val="00BF0A4B"/>
    <w:rsid w:val="00BF0A58"/>
    <w:rsid w:val="00BF0DF6"/>
    <w:rsid w:val="00BF0FBD"/>
    <w:rsid w:val="00BF0FE1"/>
    <w:rsid w:val="00BF0FE6"/>
    <w:rsid w:val="00BF134E"/>
    <w:rsid w:val="00BF1425"/>
    <w:rsid w:val="00BF14B0"/>
    <w:rsid w:val="00BF14B3"/>
    <w:rsid w:val="00BF14E7"/>
    <w:rsid w:val="00BF169B"/>
    <w:rsid w:val="00BF1B00"/>
    <w:rsid w:val="00BF1B46"/>
    <w:rsid w:val="00BF1B6F"/>
    <w:rsid w:val="00BF1B7F"/>
    <w:rsid w:val="00BF1C81"/>
    <w:rsid w:val="00BF1E33"/>
    <w:rsid w:val="00BF1F07"/>
    <w:rsid w:val="00BF22AD"/>
    <w:rsid w:val="00BF22EE"/>
    <w:rsid w:val="00BF232D"/>
    <w:rsid w:val="00BF2368"/>
    <w:rsid w:val="00BF24E7"/>
    <w:rsid w:val="00BF254E"/>
    <w:rsid w:val="00BF2599"/>
    <w:rsid w:val="00BF269B"/>
    <w:rsid w:val="00BF2778"/>
    <w:rsid w:val="00BF27EE"/>
    <w:rsid w:val="00BF289D"/>
    <w:rsid w:val="00BF29AC"/>
    <w:rsid w:val="00BF29B9"/>
    <w:rsid w:val="00BF2A18"/>
    <w:rsid w:val="00BF2B88"/>
    <w:rsid w:val="00BF2BE5"/>
    <w:rsid w:val="00BF2C30"/>
    <w:rsid w:val="00BF2CFF"/>
    <w:rsid w:val="00BF2DD3"/>
    <w:rsid w:val="00BF2E38"/>
    <w:rsid w:val="00BF2EE4"/>
    <w:rsid w:val="00BF2F4E"/>
    <w:rsid w:val="00BF308F"/>
    <w:rsid w:val="00BF31BB"/>
    <w:rsid w:val="00BF33F5"/>
    <w:rsid w:val="00BF3502"/>
    <w:rsid w:val="00BF3766"/>
    <w:rsid w:val="00BF3783"/>
    <w:rsid w:val="00BF3860"/>
    <w:rsid w:val="00BF388B"/>
    <w:rsid w:val="00BF3927"/>
    <w:rsid w:val="00BF3B8E"/>
    <w:rsid w:val="00BF3D2D"/>
    <w:rsid w:val="00BF3DBC"/>
    <w:rsid w:val="00BF3FEF"/>
    <w:rsid w:val="00BF4358"/>
    <w:rsid w:val="00BF4363"/>
    <w:rsid w:val="00BF436B"/>
    <w:rsid w:val="00BF4398"/>
    <w:rsid w:val="00BF43D7"/>
    <w:rsid w:val="00BF47CE"/>
    <w:rsid w:val="00BF48DF"/>
    <w:rsid w:val="00BF48ED"/>
    <w:rsid w:val="00BF48EE"/>
    <w:rsid w:val="00BF48EF"/>
    <w:rsid w:val="00BF4913"/>
    <w:rsid w:val="00BF4939"/>
    <w:rsid w:val="00BF49A3"/>
    <w:rsid w:val="00BF49F6"/>
    <w:rsid w:val="00BF4B25"/>
    <w:rsid w:val="00BF4B99"/>
    <w:rsid w:val="00BF4C7C"/>
    <w:rsid w:val="00BF4D74"/>
    <w:rsid w:val="00BF4DC2"/>
    <w:rsid w:val="00BF4E92"/>
    <w:rsid w:val="00BF4ECB"/>
    <w:rsid w:val="00BF4F19"/>
    <w:rsid w:val="00BF4FF0"/>
    <w:rsid w:val="00BF501D"/>
    <w:rsid w:val="00BF5025"/>
    <w:rsid w:val="00BF504C"/>
    <w:rsid w:val="00BF507D"/>
    <w:rsid w:val="00BF50E3"/>
    <w:rsid w:val="00BF50EE"/>
    <w:rsid w:val="00BF5115"/>
    <w:rsid w:val="00BF5469"/>
    <w:rsid w:val="00BF5497"/>
    <w:rsid w:val="00BF5499"/>
    <w:rsid w:val="00BF55B3"/>
    <w:rsid w:val="00BF55CE"/>
    <w:rsid w:val="00BF56E4"/>
    <w:rsid w:val="00BF56EB"/>
    <w:rsid w:val="00BF5768"/>
    <w:rsid w:val="00BF5775"/>
    <w:rsid w:val="00BF5867"/>
    <w:rsid w:val="00BF5896"/>
    <w:rsid w:val="00BF5A0D"/>
    <w:rsid w:val="00BF5C29"/>
    <w:rsid w:val="00BF5CCF"/>
    <w:rsid w:val="00BF5CEF"/>
    <w:rsid w:val="00BF5F02"/>
    <w:rsid w:val="00BF5F58"/>
    <w:rsid w:val="00BF5F7D"/>
    <w:rsid w:val="00BF601D"/>
    <w:rsid w:val="00BF6214"/>
    <w:rsid w:val="00BF6260"/>
    <w:rsid w:val="00BF63C8"/>
    <w:rsid w:val="00BF6548"/>
    <w:rsid w:val="00BF65E1"/>
    <w:rsid w:val="00BF6656"/>
    <w:rsid w:val="00BF667A"/>
    <w:rsid w:val="00BF6855"/>
    <w:rsid w:val="00BF685F"/>
    <w:rsid w:val="00BF6B3F"/>
    <w:rsid w:val="00BF6B68"/>
    <w:rsid w:val="00BF6DDB"/>
    <w:rsid w:val="00BF6F3D"/>
    <w:rsid w:val="00BF6FA3"/>
    <w:rsid w:val="00BF6FAD"/>
    <w:rsid w:val="00BF7022"/>
    <w:rsid w:val="00BF71D1"/>
    <w:rsid w:val="00BF72AB"/>
    <w:rsid w:val="00BF74C4"/>
    <w:rsid w:val="00BF7590"/>
    <w:rsid w:val="00BF7591"/>
    <w:rsid w:val="00BF75D5"/>
    <w:rsid w:val="00BF7608"/>
    <w:rsid w:val="00BF7765"/>
    <w:rsid w:val="00BF7791"/>
    <w:rsid w:val="00BF77CF"/>
    <w:rsid w:val="00BF7870"/>
    <w:rsid w:val="00BF7981"/>
    <w:rsid w:val="00BF7A52"/>
    <w:rsid w:val="00BF7C88"/>
    <w:rsid w:val="00BF7C90"/>
    <w:rsid w:val="00BF7CFD"/>
    <w:rsid w:val="00BF7E10"/>
    <w:rsid w:val="00BF7EA9"/>
    <w:rsid w:val="00BF7FE3"/>
    <w:rsid w:val="00C0022F"/>
    <w:rsid w:val="00C00234"/>
    <w:rsid w:val="00C00328"/>
    <w:rsid w:val="00C003DC"/>
    <w:rsid w:val="00C004AA"/>
    <w:rsid w:val="00C0056C"/>
    <w:rsid w:val="00C00657"/>
    <w:rsid w:val="00C00885"/>
    <w:rsid w:val="00C00959"/>
    <w:rsid w:val="00C009A5"/>
    <w:rsid w:val="00C00A5E"/>
    <w:rsid w:val="00C00A78"/>
    <w:rsid w:val="00C00AB7"/>
    <w:rsid w:val="00C00AD8"/>
    <w:rsid w:val="00C00ADF"/>
    <w:rsid w:val="00C00B9D"/>
    <w:rsid w:val="00C00D92"/>
    <w:rsid w:val="00C00EB2"/>
    <w:rsid w:val="00C0109F"/>
    <w:rsid w:val="00C0124C"/>
    <w:rsid w:val="00C012E3"/>
    <w:rsid w:val="00C01435"/>
    <w:rsid w:val="00C0149A"/>
    <w:rsid w:val="00C015CF"/>
    <w:rsid w:val="00C01713"/>
    <w:rsid w:val="00C0172B"/>
    <w:rsid w:val="00C01835"/>
    <w:rsid w:val="00C019BC"/>
    <w:rsid w:val="00C019BD"/>
    <w:rsid w:val="00C01A11"/>
    <w:rsid w:val="00C01CCC"/>
    <w:rsid w:val="00C01DCC"/>
    <w:rsid w:val="00C01F28"/>
    <w:rsid w:val="00C01FA8"/>
    <w:rsid w:val="00C020C7"/>
    <w:rsid w:val="00C020D5"/>
    <w:rsid w:val="00C0230B"/>
    <w:rsid w:val="00C0230E"/>
    <w:rsid w:val="00C023A5"/>
    <w:rsid w:val="00C0276B"/>
    <w:rsid w:val="00C0281A"/>
    <w:rsid w:val="00C02934"/>
    <w:rsid w:val="00C02A56"/>
    <w:rsid w:val="00C02B8E"/>
    <w:rsid w:val="00C02D4E"/>
    <w:rsid w:val="00C02D55"/>
    <w:rsid w:val="00C02D92"/>
    <w:rsid w:val="00C03042"/>
    <w:rsid w:val="00C0306D"/>
    <w:rsid w:val="00C03147"/>
    <w:rsid w:val="00C0326F"/>
    <w:rsid w:val="00C0329F"/>
    <w:rsid w:val="00C03365"/>
    <w:rsid w:val="00C0362B"/>
    <w:rsid w:val="00C03720"/>
    <w:rsid w:val="00C03955"/>
    <w:rsid w:val="00C03A99"/>
    <w:rsid w:val="00C03AE8"/>
    <w:rsid w:val="00C03C24"/>
    <w:rsid w:val="00C03E0A"/>
    <w:rsid w:val="00C03E33"/>
    <w:rsid w:val="00C03EE8"/>
    <w:rsid w:val="00C03FCD"/>
    <w:rsid w:val="00C04011"/>
    <w:rsid w:val="00C042FA"/>
    <w:rsid w:val="00C04327"/>
    <w:rsid w:val="00C04682"/>
    <w:rsid w:val="00C0468F"/>
    <w:rsid w:val="00C04745"/>
    <w:rsid w:val="00C048DC"/>
    <w:rsid w:val="00C04940"/>
    <w:rsid w:val="00C0495C"/>
    <w:rsid w:val="00C0496E"/>
    <w:rsid w:val="00C049BC"/>
    <w:rsid w:val="00C04C7C"/>
    <w:rsid w:val="00C04DF6"/>
    <w:rsid w:val="00C04E29"/>
    <w:rsid w:val="00C04E31"/>
    <w:rsid w:val="00C04F2D"/>
    <w:rsid w:val="00C04F79"/>
    <w:rsid w:val="00C0515C"/>
    <w:rsid w:val="00C05177"/>
    <w:rsid w:val="00C051AB"/>
    <w:rsid w:val="00C051C2"/>
    <w:rsid w:val="00C053C0"/>
    <w:rsid w:val="00C0594D"/>
    <w:rsid w:val="00C05973"/>
    <w:rsid w:val="00C05985"/>
    <w:rsid w:val="00C05AF7"/>
    <w:rsid w:val="00C05B3B"/>
    <w:rsid w:val="00C05C0A"/>
    <w:rsid w:val="00C05D2A"/>
    <w:rsid w:val="00C060A4"/>
    <w:rsid w:val="00C06147"/>
    <w:rsid w:val="00C06378"/>
    <w:rsid w:val="00C063FA"/>
    <w:rsid w:val="00C0640F"/>
    <w:rsid w:val="00C064C4"/>
    <w:rsid w:val="00C064F0"/>
    <w:rsid w:val="00C064F4"/>
    <w:rsid w:val="00C066E4"/>
    <w:rsid w:val="00C068C3"/>
    <w:rsid w:val="00C06907"/>
    <w:rsid w:val="00C06910"/>
    <w:rsid w:val="00C0691F"/>
    <w:rsid w:val="00C06B28"/>
    <w:rsid w:val="00C06BD5"/>
    <w:rsid w:val="00C06C0E"/>
    <w:rsid w:val="00C06D9D"/>
    <w:rsid w:val="00C06F1C"/>
    <w:rsid w:val="00C06F93"/>
    <w:rsid w:val="00C07181"/>
    <w:rsid w:val="00C0729A"/>
    <w:rsid w:val="00C07334"/>
    <w:rsid w:val="00C07353"/>
    <w:rsid w:val="00C07361"/>
    <w:rsid w:val="00C074A2"/>
    <w:rsid w:val="00C07548"/>
    <w:rsid w:val="00C075AC"/>
    <w:rsid w:val="00C0764D"/>
    <w:rsid w:val="00C076A3"/>
    <w:rsid w:val="00C076D2"/>
    <w:rsid w:val="00C077C1"/>
    <w:rsid w:val="00C07815"/>
    <w:rsid w:val="00C0783F"/>
    <w:rsid w:val="00C0789F"/>
    <w:rsid w:val="00C07A2A"/>
    <w:rsid w:val="00C07AC7"/>
    <w:rsid w:val="00C07B87"/>
    <w:rsid w:val="00C07DDE"/>
    <w:rsid w:val="00C07F7F"/>
    <w:rsid w:val="00C07FD2"/>
    <w:rsid w:val="00C10029"/>
    <w:rsid w:val="00C10087"/>
    <w:rsid w:val="00C100ED"/>
    <w:rsid w:val="00C1011D"/>
    <w:rsid w:val="00C1033A"/>
    <w:rsid w:val="00C103BA"/>
    <w:rsid w:val="00C1087F"/>
    <w:rsid w:val="00C1095D"/>
    <w:rsid w:val="00C109B7"/>
    <w:rsid w:val="00C109C1"/>
    <w:rsid w:val="00C109D5"/>
    <w:rsid w:val="00C109D6"/>
    <w:rsid w:val="00C10B3E"/>
    <w:rsid w:val="00C10BC9"/>
    <w:rsid w:val="00C10D1C"/>
    <w:rsid w:val="00C10E0B"/>
    <w:rsid w:val="00C10EE2"/>
    <w:rsid w:val="00C10F94"/>
    <w:rsid w:val="00C10FB5"/>
    <w:rsid w:val="00C11109"/>
    <w:rsid w:val="00C11182"/>
    <w:rsid w:val="00C11307"/>
    <w:rsid w:val="00C11393"/>
    <w:rsid w:val="00C115A5"/>
    <w:rsid w:val="00C1166D"/>
    <w:rsid w:val="00C117B6"/>
    <w:rsid w:val="00C11ABA"/>
    <w:rsid w:val="00C11CEA"/>
    <w:rsid w:val="00C11CF2"/>
    <w:rsid w:val="00C11DCA"/>
    <w:rsid w:val="00C11F2E"/>
    <w:rsid w:val="00C11F99"/>
    <w:rsid w:val="00C12023"/>
    <w:rsid w:val="00C12081"/>
    <w:rsid w:val="00C12141"/>
    <w:rsid w:val="00C1216A"/>
    <w:rsid w:val="00C12296"/>
    <w:rsid w:val="00C1233D"/>
    <w:rsid w:val="00C12526"/>
    <w:rsid w:val="00C1269D"/>
    <w:rsid w:val="00C126FF"/>
    <w:rsid w:val="00C1270E"/>
    <w:rsid w:val="00C12839"/>
    <w:rsid w:val="00C1284E"/>
    <w:rsid w:val="00C12916"/>
    <w:rsid w:val="00C12A8E"/>
    <w:rsid w:val="00C12B88"/>
    <w:rsid w:val="00C12BAC"/>
    <w:rsid w:val="00C12CE6"/>
    <w:rsid w:val="00C12CF6"/>
    <w:rsid w:val="00C13032"/>
    <w:rsid w:val="00C130F0"/>
    <w:rsid w:val="00C13114"/>
    <w:rsid w:val="00C131A0"/>
    <w:rsid w:val="00C132AA"/>
    <w:rsid w:val="00C1345A"/>
    <w:rsid w:val="00C1349A"/>
    <w:rsid w:val="00C13547"/>
    <w:rsid w:val="00C1355F"/>
    <w:rsid w:val="00C135AE"/>
    <w:rsid w:val="00C1364C"/>
    <w:rsid w:val="00C13656"/>
    <w:rsid w:val="00C136B1"/>
    <w:rsid w:val="00C13752"/>
    <w:rsid w:val="00C137EF"/>
    <w:rsid w:val="00C13938"/>
    <w:rsid w:val="00C13E3D"/>
    <w:rsid w:val="00C13F5A"/>
    <w:rsid w:val="00C14047"/>
    <w:rsid w:val="00C141EA"/>
    <w:rsid w:val="00C1436A"/>
    <w:rsid w:val="00C144D4"/>
    <w:rsid w:val="00C144DF"/>
    <w:rsid w:val="00C1450B"/>
    <w:rsid w:val="00C14523"/>
    <w:rsid w:val="00C14664"/>
    <w:rsid w:val="00C1468A"/>
    <w:rsid w:val="00C14BA8"/>
    <w:rsid w:val="00C14BF8"/>
    <w:rsid w:val="00C14C0C"/>
    <w:rsid w:val="00C14C59"/>
    <w:rsid w:val="00C14CD4"/>
    <w:rsid w:val="00C14FD3"/>
    <w:rsid w:val="00C150BE"/>
    <w:rsid w:val="00C15514"/>
    <w:rsid w:val="00C155E3"/>
    <w:rsid w:val="00C156FA"/>
    <w:rsid w:val="00C15723"/>
    <w:rsid w:val="00C1580F"/>
    <w:rsid w:val="00C1587B"/>
    <w:rsid w:val="00C15A3A"/>
    <w:rsid w:val="00C15A5B"/>
    <w:rsid w:val="00C15B20"/>
    <w:rsid w:val="00C15BCA"/>
    <w:rsid w:val="00C15CA6"/>
    <w:rsid w:val="00C15CCF"/>
    <w:rsid w:val="00C15CF3"/>
    <w:rsid w:val="00C15D31"/>
    <w:rsid w:val="00C15E4D"/>
    <w:rsid w:val="00C15F81"/>
    <w:rsid w:val="00C15F8A"/>
    <w:rsid w:val="00C16255"/>
    <w:rsid w:val="00C162A0"/>
    <w:rsid w:val="00C162FA"/>
    <w:rsid w:val="00C16328"/>
    <w:rsid w:val="00C163D8"/>
    <w:rsid w:val="00C163E7"/>
    <w:rsid w:val="00C1645D"/>
    <w:rsid w:val="00C1647B"/>
    <w:rsid w:val="00C165EB"/>
    <w:rsid w:val="00C16833"/>
    <w:rsid w:val="00C1698D"/>
    <w:rsid w:val="00C16A60"/>
    <w:rsid w:val="00C16AAA"/>
    <w:rsid w:val="00C16D77"/>
    <w:rsid w:val="00C16E56"/>
    <w:rsid w:val="00C16E9C"/>
    <w:rsid w:val="00C16FB2"/>
    <w:rsid w:val="00C16FD0"/>
    <w:rsid w:val="00C17120"/>
    <w:rsid w:val="00C171AE"/>
    <w:rsid w:val="00C17367"/>
    <w:rsid w:val="00C1746B"/>
    <w:rsid w:val="00C1775D"/>
    <w:rsid w:val="00C17777"/>
    <w:rsid w:val="00C177D6"/>
    <w:rsid w:val="00C17960"/>
    <w:rsid w:val="00C17A02"/>
    <w:rsid w:val="00C17B78"/>
    <w:rsid w:val="00C17B87"/>
    <w:rsid w:val="00C17ED3"/>
    <w:rsid w:val="00C17FAA"/>
    <w:rsid w:val="00C17FDA"/>
    <w:rsid w:val="00C17FE7"/>
    <w:rsid w:val="00C200BC"/>
    <w:rsid w:val="00C201EC"/>
    <w:rsid w:val="00C20244"/>
    <w:rsid w:val="00C20249"/>
    <w:rsid w:val="00C202B3"/>
    <w:rsid w:val="00C202C9"/>
    <w:rsid w:val="00C202F1"/>
    <w:rsid w:val="00C20576"/>
    <w:rsid w:val="00C20594"/>
    <w:rsid w:val="00C205FE"/>
    <w:rsid w:val="00C2080A"/>
    <w:rsid w:val="00C20844"/>
    <w:rsid w:val="00C209DA"/>
    <w:rsid w:val="00C20A77"/>
    <w:rsid w:val="00C20A88"/>
    <w:rsid w:val="00C20AA3"/>
    <w:rsid w:val="00C20B07"/>
    <w:rsid w:val="00C20B29"/>
    <w:rsid w:val="00C20D82"/>
    <w:rsid w:val="00C20DBB"/>
    <w:rsid w:val="00C20E8C"/>
    <w:rsid w:val="00C20EAF"/>
    <w:rsid w:val="00C2112F"/>
    <w:rsid w:val="00C21596"/>
    <w:rsid w:val="00C215D9"/>
    <w:rsid w:val="00C21696"/>
    <w:rsid w:val="00C21743"/>
    <w:rsid w:val="00C218AC"/>
    <w:rsid w:val="00C21965"/>
    <w:rsid w:val="00C21AD7"/>
    <w:rsid w:val="00C21AE2"/>
    <w:rsid w:val="00C21C70"/>
    <w:rsid w:val="00C21C7E"/>
    <w:rsid w:val="00C21DC3"/>
    <w:rsid w:val="00C21EE0"/>
    <w:rsid w:val="00C21F57"/>
    <w:rsid w:val="00C220A9"/>
    <w:rsid w:val="00C22299"/>
    <w:rsid w:val="00C22486"/>
    <w:rsid w:val="00C226AB"/>
    <w:rsid w:val="00C22783"/>
    <w:rsid w:val="00C227C6"/>
    <w:rsid w:val="00C227F5"/>
    <w:rsid w:val="00C22893"/>
    <w:rsid w:val="00C22AB9"/>
    <w:rsid w:val="00C22AF4"/>
    <w:rsid w:val="00C22B01"/>
    <w:rsid w:val="00C22BD6"/>
    <w:rsid w:val="00C22BD7"/>
    <w:rsid w:val="00C22BF8"/>
    <w:rsid w:val="00C22DC8"/>
    <w:rsid w:val="00C22E62"/>
    <w:rsid w:val="00C22F68"/>
    <w:rsid w:val="00C23173"/>
    <w:rsid w:val="00C23281"/>
    <w:rsid w:val="00C23361"/>
    <w:rsid w:val="00C2338A"/>
    <w:rsid w:val="00C2354A"/>
    <w:rsid w:val="00C23580"/>
    <w:rsid w:val="00C235DD"/>
    <w:rsid w:val="00C23752"/>
    <w:rsid w:val="00C23BAA"/>
    <w:rsid w:val="00C23BB2"/>
    <w:rsid w:val="00C23D0D"/>
    <w:rsid w:val="00C23E58"/>
    <w:rsid w:val="00C23F3E"/>
    <w:rsid w:val="00C2408F"/>
    <w:rsid w:val="00C240D4"/>
    <w:rsid w:val="00C240FB"/>
    <w:rsid w:val="00C2429C"/>
    <w:rsid w:val="00C242E9"/>
    <w:rsid w:val="00C244B5"/>
    <w:rsid w:val="00C2456D"/>
    <w:rsid w:val="00C245EF"/>
    <w:rsid w:val="00C24702"/>
    <w:rsid w:val="00C24709"/>
    <w:rsid w:val="00C2477D"/>
    <w:rsid w:val="00C2484F"/>
    <w:rsid w:val="00C2489B"/>
    <w:rsid w:val="00C24AA4"/>
    <w:rsid w:val="00C24B6E"/>
    <w:rsid w:val="00C24BAA"/>
    <w:rsid w:val="00C24BE4"/>
    <w:rsid w:val="00C24BF3"/>
    <w:rsid w:val="00C24C73"/>
    <w:rsid w:val="00C24EC8"/>
    <w:rsid w:val="00C24F17"/>
    <w:rsid w:val="00C24F76"/>
    <w:rsid w:val="00C24F7D"/>
    <w:rsid w:val="00C2522D"/>
    <w:rsid w:val="00C253A9"/>
    <w:rsid w:val="00C253B2"/>
    <w:rsid w:val="00C253F0"/>
    <w:rsid w:val="00C25514"/>
    <w:rsid w:val="00C25670"/>
    <w:rsid w:val="00C25A95"/>
    <w:rsid w:val="00C25C5B"/>
    <w:rsid w:val="00C25CE7"/>
    <w:rsid w:val="00C26020"/>
    <w:rsid w:val="00C260CB"/>
    <w:rsid w:val="00C26184"/>
    <w:rsid w:val="00C261E1"/>
    <w:rsid w:val="00C26484"/>
    <w:rsid w:val="00C26629"/>
    <w:rsid w:val="00C2666F"/>
    <w:rsid w:val="00C267D2"/>
    <w:rsid w:val="00C2681F"/>
    <w:rsid w:val="00C26B76"/>
    <w:rsid w:val="00C26D25"/>
    <w:rsid w:val="00C26E4C"/>
    <w:rsid w:val="00C26E6A"/>
    <w:rsid w:val="00C26EEA"/>
    <w:rsid w:val="00C2705C"/>
    <w:rsid w:val="00C270D9"/>
    <w:rsid w:val="00C271DA"/>
    <w:rsid w:val="00C2720D"/>
    <w:rsid w:val="00C2723D"/>
    <w:rsid w:val="00C273C0"/>
    <w:rsid w:val="00C273FE"/>
    <w:rsid w:val="00C27493"/>
    <w:rsid w:val="00C274D3"/>
    <w:rsid w:val="00C27578"/>
    <w:rsid w:val="00C275EA"/>
    <w:rsid w:val="00C276AA"/>
    <w:rsid w:val="00C276AF"/>
    <w:rsid w:val="00C276D2"/>
    <w:rsid w:val="00C2770C"/>
    <w:rsid w:val="00C27755"/>
    <w:rsid w:val="00C277FA"/>
    <w:rsid w:val="00C278A9"/>
    <w:rsid w:val="00C27961"/>
    <w:rsid w:val="00C27A45"/>
    <w:rsid w:val="00C27AC2"/>
    <w:rsid w:val="00C27CD4"/>
    <w:rsid w:val="00C27DBF"/>
    <w:rsid w:val="00C27E7C"/>
    <w:rsid w:val="00C27EDC"/>
    <w:rsid w:val="00C3001D"/>
    <w:rsid w:val="00C300A1"/>
    <w:rsid w:val="00C300DC"/>
    <w:rsid w:val="00C30159"/>
    <w:rsid w:val="00C30221"/>
    <w:rsid w:val="00C30235"/>
    <w:rsid w:val="00C30279"/>
    <w:rsid w:val="00C30297"/>
    <w:rsid w:val="00C30316"/>
    <w:rsid w:val="00C303A4"/>
    <w:rsid w:val="00C304BF"/>
    <w:rsid w:val="00C30525"/>
    <w:rsid w:val="00C305B7"/>
    <w:rsid w:val="00C307A9"/>
    <w:rsid w:val="00C3081B"/>
    <w:rsid w:val="00C30971"/>
    <w:rsid w:val="00C309F0"/>
    <w:rsid w:val="00C30ED6"/>
    <w:rsid w:val="00C30F0A"/>
    <w:rsid w:val="00C31007"/>
    <w:rsid w:val="00C310CA"/>
    <w:rsid w:val="00C311F1"/>
    <w:rsid w:val="00C31368"/>
    <w:rsid w:val="00C313C3"/>
    <w:rsid w:val="00C31470"/>
    <w:rsid w:val="00C3190C"/>
    <w:rsid w:val="00C319B3"/>
    <w:rsid w:val="00C31A2B"/>
    <w:rsid w:val="00C31C60"/>
    <w:rsid w:val="00C31D31"/>
    <w:rsid w:val="00C31D48"/>
    <w:rsid w:val="00C31DBB"/>
    <w:rsid w:val="00C31F3F"/>
    <w:rsid w:val="00C32045"/>
    <w:rsid w:val="00C32170"/>
    <w:rsid w:val="00C32345"/>
    <w:rsid w:val="00C3250A"/>
    <w:rsid w:val="00C3264F"/>
    <w:rsid w:val="00C32681"/>
    <w:rsid w:val="00C32804"/>
    <w:rsid w:val="00C32822"/>
    <w:rsid w:val="00C3282C"/>
    <w:rsid w:val="00C32C97"/>
    <w:rsid w:val="00C32CC2"/>
    <w:rsid w:val="00C32CE9"/>
    <w:rsid w:val="00C32FDD"/>
    <w:rsid w:val="00C330AF"/>
    <w:rsid w:val="00C331A4"/>
    <w:rsid w:val="00C33384"/>
    <w:rsid w:val="00C33563"/>
    <w:rsid w:val="00C335AD"/>
    <w:rsid w:val="00C3375E"/>
    <w:rsid w:val="00C33847"/>
    <w:rsid w:val="00C3397E"/>
    <w:rsid w:val="00C33E66"/>
    <w:rsid w:val="00C33FA9"/>
    <w:rsid w:val="00C34039"/>
    <w:rsid w:val="00C34048"/>
    <w:rsid w:val="00C34094"/>
    <w:rsid w:val="00C340E3"/>
    <w:rsid w:val="00C341DF"/>
    <w:rsid w:val="00C34257"/>
    <w:rsid w:val="00C3432C"/>
    <w:rsid w:val="00C34405"/>
    <w:rsid w:val="00C346C6"/>
    <w:rsid w:val="00C3475F"/>
    <w:rsid w:val="00C34839"/>
    <w:rsid w:val="00C34841"/>
    <w:rsid w:val="00C34897"/>
    <w:rsid w:val="00C34A67"/>
    <w:rsid w:val="00C34AA9"/>
    <w:rsid w:val="00C34B6B"/>
    <w:rsid w:val="00C34B83"/>
    <w:rsid w:val="00C34B9C"/>
    <w:rsid w:val="00C34E48"/>
    <w:rsid w:val="00C34E4B"/>
    <w:rsid w:val="00C34E56"/>
    <w:rsid w:val="00C34F12"/>
    <w:rsid w:val="00C34F28"/>
    <w:rsid w:val="00C34FF5"/>
    <w:rsid w:val="00C35059"/>
    <w:rsid w:val="00C350AC"/>
    <w:rsid w:val="00C35342"/>
    <w:rsid w:val="00C35398"/>
    <w:rsid w:val="00C353C7"/>
    <w:rsid w:val="00C35525"/>
    <w:rsid w:val="00C355FC"/>
    <w:rsid w:val="00C35651"/>
    <w:rsid w:val="00C35750"/>
    <w:rsid w:val="00C3586D"/>
    <w:rsid w:val="00C359B0"/>
    <w:rsid w:val="00C35DD8"/>
    <w:rsid w:val="00C35F6B"/>
    <w:rsid w:val="00C3605D"/>
    <w:rsid w:val="00C3640A"/>
    <w:rsid w:val="00C365A6"/>
    <w:rsid w:val="00C36689"/>
    <w:rsid w:val="00C3673B"/>
    <w:rsid w:val="00C367E3"/>
    <w:rsid w:val="00C368A8"/>
    <w:rsid w:val="00C368B3"/>
    <w:rsid w:val="00C3692E"/>
    <w:rsid w:val="00C36998"/>
    <w:rsid w:val="00C36BA0"/>
    <w:rsid w:val="00C36BE5"/>
    <w:rsid w:val="00C36D50"/>
    <w:rsid w:val="00C36E1B"/>
    <w:rsid w:val="00C36E6A"/>
    <w:rsid w:val="00C37057"/>
    <w:rsid w:val="00C37137"/>
    <w:rsid w:val="00C37245"/>
    <w:rsid w:val="00C372B9"/>
    <w:rsid w:val="00C372E2"/>
    <w:rsid w:val="00C37399"/>
    <w:rsid w:val="00C373C0"/>
    <w:rsid w:val="00C3744B"/>
    <w:rsid w:val="00C37755"/>
    <w:rsid w:val="00C37800"/>
    <w:rsid w:val="00C37807"/>
    <w:rsid w:val="00C37849"/>
    <w:rsid w:val="00C37897"/>
    <w:rsid w:val="00C378C8"/>
    <w:rsid w:val="00C37A3D"/>
    <w:rsid w:val="00C37AB8"/>
    <w:rsid w:val="00C37AC7"/>
    <w:rsid w:val="00C37B65"/>
    <w:rsid w:val="00C37C43"/>
    <w:rsid w:val="00C37D38"/>
    <w:rsid w:val="00C37D3A"/>
    <w:rsid w:val="00C37D4F"/>
    <w:rsid w:val="00C37DB3"/>
    <w:rsid w:val="00C37DC9"/>
    <w:rsid w:val="00C37DD9"/>
    <w:rsid w:val="00C37E68"/>
    <w:rsid w:val="00C400A5"/>
    <w:rsid w:val="00C400CC"/>
    <w:rsid w:val="00C40130"/>
    <w:rsid w:val="00C4015A"/>
    <w:rsid w:val="00C4028D"/>
    <w:rsid w:val="00C402E8"/>
    <w:rsid w:val="00C40514"/>
    <w:rsid w:val="00C40524"/>
    <w:rsid w:val="00C4053E"/>
    <w:rsid w:val="00C405B3"/>
    <w:rsid w:val="00C40825"/>
    <w:rsid w:val="00C409B3"/>
    <w:rsid w:val="00C40A74"/>
    <w:rsid w:val="00C40A8F"/>
    <w:rsid w:val="00C40BEE"/>
    <w:rsid w:val="00C40C8F"/>
    <w:rsid w:val="00C40CBE"/>
    <w:rsid w:val="00C40D4A"/>
    <w:rsid w:val="00C40F36"/>
    <w:rsid w:val="00C410D2"/>
    <w:rsid w:val="00C411B6"/>
    <w:rsid w:val="00C411DE"/>
    <w:rsid w:val="00C412F5"/>
    <w:rsid w:val="00C4136B"/>
    <w:rsid w:val="00C41473"/>
    <w:rsid w:val="00C416A9"/>
    <w:rsid w:val="00C416BF"/>
    <w:rsid w:val="00C41793"/>
    <w:rsid w:val="00C417B7"/>
    <w:rsid w:val="00C419FF"/>
    <w:rsid w:val="00C41AAB"/>
    <w:rsid w:val="00C41CF4"/>
    <w:rsid w:val="00C41D59"/>
    <w:rsid w:val="00C41E33"/>
    <w:rsid w:val="00C41F50"/>
    <w:rsid w:val="00C41FB4"/>
    <w:rsid w:val="00C42075"/>
    <w:rsid w:val="00C421E6"/>
    <w:rsid w:val="00C42323"/>
    <w:rsid w:val="00C42366"/>
    <w:rsid w:val="00C4238F"/>
    <w:rsid w:val="00C424A0"/>
    <w:rsid w:val="00C424DC"/>
    <w:rsid w:val="00C425BE"/>
    <w:rsid w:val="00C42712"/>
    <w:rsid w:val="00C42936"/>
    <w:rsid w:val="00C42A29"/>
    <w:rsid w:val="00C42A2A"/>
    <w:rsid w:val="00C42A4C"/>
    <w:rsid w:val="00C42A72"/>
    <w:rsid w:val="00C42CBB"/>
    <w:rsid w:val="00C42CE1"/>
    <w:rsid w:val="00C42D02"/>
    <w:rsid w:val="00C42EC0"/>
    <w:rsid w:val="00C42F6F"/>
    <w:rsid w:val="00C4301B"/>
    <w:rsid w:val="00C43039"/>
    <w:rsid w:val="00C4307C"/>
    <w:rsid w:val="00C43212"/>
    <w:rsid w:val="00C43378"/>
    <w:rsid w:val="00C43425"/>
    <w:rsid w:val="00C437FD"/>
    <w:rsid w:val="00C43859"/>
    <w:rsid w:val="00C43B65"/>
    <w:rsid w:val="00C43BB6"/>
    <w:rsid w:val="00C43BD3"/>
    <w:rsid w:val="00C43C6D"/>
    <w:rsid w:val="00C43C99"/>
    <w:rsid w:val="00C43CE2"/>
    <w:rsid w:val="00C43E04"/>
    <w:rsid w:val="00C443D4"/>
    <w:rsid w:val="00C444C3"/>
    <w:rsid w:val="00C44500"/>
    <w:rsid w:val="00C44564"/>
    <w:rsid w:val="00C44833"/>
    <w:rsid w:val="00C44841"/>
    <w:rsid w:val="00C44886"/>
    <w:rsid w:val="00C448C2"/>
    <w:rsid w:val="00C44932"/>
    <w:rsid w:val="00C44953"/>
    <w:rsid w:val="00C44A4F"/>
    <w:rsid w:val="00C44D08"/>
    <w:rsid w:val="00C44DF5"/>
    <w:rsid w:val="00C44E70"/>
    <w:rsid w:val="00C44F9F"/>
    <w:rsid w:val="00C44FC1"/>
    <w:rsid w:val="00C44FC9"/>
    <w:rsid w:val="00C45029"/>
    <w:rsid w:val="00C455F3"/>
    <w:rsid w:val="00C4561C"/>
    <w:rsid w:val="00C457E9"/>
    <w:rsid w:val="00C45C3D"/>
    <w:rsid w:val="00C45D2C"/>
    <w:rsid w:val="00C45F33"/>
    <w:rsid w:val="00C45FD7"/>
    <w:rsid w:val="00C46168"/>
    <w:rsid w:val="00C461D0"/>
    <w:rsid w:val="00C461FA"/>
    <w:rsid w:val="00C46371"/>
    <w:rsid w:val="00C463EE"/>
    <w:rsid w:val="00C4645E"/>
    <w:rsid w:val="00C46486"/>
    <w:rsid w:val="00C46567"/>
    <w:rsid w:val="00C4676D"/>
    <w:rsid w:val="00C4679A"/>
    <w:rsid w:val="00C467AF"/>
    <w:rsid w:val="00C46858"/>
    <w:rsid w:val="00C46899"/>
    <w:rsid w:val="00C46A58"/>
    <w:rsid w:val="00C46BB9"/>
    <w:rsid w:val="00C46D29"/>
    <w:rsid w:val="00C46E59"/>
    <w:rsid w:val="00C46EEE"/>
    <w:rsid w:val="00C46F2C"/>
    <w:rsid w:val="00C470B2"/>
    <w:rsid w:val="00C470BA"/>
    <w:rsid w:val="00C470D2"/>
    <w:rsid w:val="00C471C0"/>
    <w:rsid w:val="00C472BC"/>
    <w:rsid w:val="00C472BD"/>
    <w:rsid w:val="00C47305"/>
    <w:rsid w:val="00C47430"/>
    <w:rsid w:val="00C47447"/>
    <w:rsid w:val="00C476B9"/>
    <w:rsid w:val="00C477EA"/>
    <w:rsid w:val="00C477EE"/>
    <w:rsid w:val="00C47819"/>
    <w:rsid w:val="00C479C1"/>
    <w:rsid w:val="00C47A54"/>
    <w:rsid w:val="00C47AA3"/>
    <w:rsid w:val="00C47ADF"/>
    <w:rsid w:val="00C47C48"/>
    <w:rsid w:val="00C47E30"/>
    <w:rsid w:val="00C47E86"/>
    <w:rsid w:val="00C504BF"/>
    <w:rsid w:val="00C50667"/>
    <w:rsid w:val="00C50708"/>
    <w:rsid w:val="00C5083B"/>
    <w:rsid w:val="00C508F8"/>
    <w:rsid w:val="00C50976"/>
    <w:rsid w:val="00C50A99"/>
    <w:rsid w:val="00C50AF7"/>
    <w:rsid w:val="00C50B48"/>
    <w:rsid w:val="00C50C22"/>
    <w:rsid w:val="00C50D7E"/>
    <w:rsid w:val="00C50DD9"/>
    <w:rsid w:val="00C50DEE"/>
    <w:rsid w:val="00C50E31"/>
    <w:rsid w:val="00C50F2A"/>
    <w:rsid w:val="00C50F3D"/>
    <w:rsid w:val="00C50F8E"/>
    <w:rsid w:val="00C5124B"/>
    <w:rsid w:val="00C51376"/>
    <w:rsid w:val="00C51524"/>
    <w:rsid w:val="00C51801"/>
    <w:rsid w:val="00C51BB7"/>
    <w:rsid w:val="00C51BE8"/>
    <w:rsid w:val="00C51CB6"/>
    <w:rsid w:val="00C51E12"/>
    <w:rsid w:val="00C51E2D"/>
    <w:rsid w:val="00C51EAE"/>
    <w:rsid w:val="00C51F18"/>
    <w:rsid w:val="00C51FB7"/>
    <w:rsid w:val="00C51FEF"/>
    <w:rsid w:val="00C5202B"/>
    <w:rsid w:val="00C521EA"/>
    <w:rsid w:val="00C52262"/>
    <w:rsid w:val="00C5244C"/>
    <w:rsid w:val="00C52554"/>
    <w:rsid w:val="00C52557"/>
    <w:rsid w:val="00C5264A"/>
    <w:rsid w:val="00C52767"/>
    <w:rsid w:val="00C527FD"/>
    <w:rsid w:val="00C52B04"/>
    <w:rsid w:val="00C52C39"/>
    <w:rsid w:val="00C52DCE"/>
    <w:rsid w:val="00C53008"/>
    <w:rsid w:val="00C53086"/>
    <w:rsid w:val="00C53193"/>
    <w:rsid w:val="00C53211"/>
    <w:rsid w:val="00C532A1"/>
    <w:rsid w:val="00C532F3"/>
    <w:rsid w:val="00C5341C"/>
    <w:rsid w:val="00C534F8"/>
    <w:rsid w:val="00C535DF"/>
    <w:rsid w:val="00C53694"/>
    <w:rsid w:val="00C5369F"/>
    <w:rsid w:val="00C537B4"/>
    <w:rsid w:val="00C538B5"/>
    <w:rsid w:val="00C53B8C"/>
    <w:rsid w:val="00C53BFB"/>
    <w:rsid w:val="00C53CC3"/>
    <w:rsid w:val="00C53CF5"/>
    <w:rsid w:val="00C53DDB"/>
    <w:rsid w:val="00C53F49"/>
    <w:rsid w:val="00C53F7E"/>
    <w:rsid w:val="00C540CE"/>
    <w:rsid w:val="00C54170"/>
    <w:rsid w:val="00C5418D"/>
    <w:rsid w:val="00C54462"/>
    <w:rsid w:val="00C5448A"/>
    <w:rsid w:val="00C54492"/>
    <w:rsid w:val="00C54501"/>
    <w:rsid w:val="00C5455F"/>
    <w:rsid w:val="00C547BD"/>
    <w:rsid w:val="00C5483E"/>
    <w:rsid w:val="00C54A7A"/>
    <w:rsid w:val="00C54AD0"/>
    <w:rsid w:val="00C54B49"/>
    <w:rsid w:val="00C54B55"/>
    <w:rsid w:val="00C54C30"/>
    <w:rsid w:val="00C54C31"/>
    <w:rsid w:val="00C54CFA"/>
    <w:rsid w:val="00C54E4C"/>
    <w:rsid w:val="00C54EAF"/>
    <w:rsid w:val="00C54F0A"/>
    <w:rsid w:val="00C55018"/>
    <w:rsid w:val="00C5518B"/>
    <w:rsid w:val="00C5554C"/>
    <w:rsid w:val="00C555AC"/>
    <w:rsid w:val="00C5573E"/>
    <w:rsid w:val="00C55779"/>
    <w:rsid w:val="00C557A1"/>
    <w:rsid w:val="00C55872"/>
    <w:rsid w:val="00C558A2"/>
    <w:rsid w:val="00C558AD"/>
    <w:rsid w:val="00C558C7"/>
    <w:rsid w:val="00C55E7A"/>
    <w:rsid w:val="00C5601A"/>
    <w:rsid w:val="00C5613C"/>
    <w:rsid w:val="00C561B9"/>
    <w:rsid w:val="00C56280"/>
    <w:rsid w:val="00C562B6"/>
    <w:rsid w:val="00C562E6"/>
    <w:rsid w:val="00C563A5"/>
    <w:rsid w:val="00C563B8"/>
    <w:rsid w:val="00C564C3"/>
    <w:rsid w:val="00C5653A"/>
    <w:rsid w:val="00C56585"/>
    <w:rsid w:val="00C56604"/>
    <w:rsid w:val="00C5660C"/>
    <w:rsid w:val="00C56643"/>
    <w:rsid w:val="00C56786"/>
    <w:rsid w:val="00C56A28"/>
    <w:rsid w:val="00C56AAE"/>
    <w:rsid w:val="00C56B0B"/>
    <w:rsid w:val="00C56BB2"/>
    <w:rsid w:val="00C56D52"/>
    <w:rsid w:val="00C56E43"/>
    <w:rsid w:val="00C56ECE"/>
    <w:rsid w:val="00C56F5B"/>
    <w:rsid w:val="00C57390"/>
    <w:rsid w:val="00C573BA"/>
    <w:rsid w:val="00C573C8"/>
    <w:rsid w:val="00C573EE"/>
    <w:rsid w:val="00C57435"/>
    <w:rsid w:val="00C574BF"/>
    <w:rsid w:val="00C5752A"/>
    <w:rsid w:val="00C5757E"/>
    <w:rsid w:val="00C575AF"/>
    <w:rsid w:val="00C5765A"/>
    <w:rsid w:val="00C5776F"/>
    <w:rsid w:val="00C579E2"/>
    <w:rsid w:val="00C57A38"/>
    <w:rsid w:val="00C57A60"/>
    <w:rsid w:val="00C57BBF"/>
    <w:rsid w:val="00C57D27"/>
    <w:rsid w:val="00C57EBC"/>
    <w:rsid w:val="00C6006B"/>
    <w:rsid w:val="00C60293"/>
    <w:rsid w:val="00C602D9"/>
    <w:rsid w:val="00C6048E"/>
    <w:rsid w:val="00C60733"/>
    <w:rsid w:val="00C60776"/>
    <w:rsid w:val="00C60961"/>
    <w:rsid w:val="00C60B0E"/>
    <w:rsid w:val="00C60BE4"/>
    <w:rsid w:val="00C60C1B"/>
    <w:rsid w:val="00C60C1C"/>
    <w:rsid w:val="00C60CFF"/>
    <w:rsid w:val="00C60D1C"/>
    <w:rsid w:val="00C60D43"/>
    <w:rsid w:val="00C60D6B"/>
    <w:rsid w:val="00C60EDE"/>
    <w:rsid w:val="00C60F08"/>
    <w:rsid w:val="00C60FBC"/>
    <w:rsid w:val="00C60FD4"/>
    <w:rsid w:val="00C60FDD"/>
    <w:rsid w:val="00C610F9"/>
    <w:rsid w:val="00C6113C"/>
    <w:rsid w:val="00C61161"/>
    <w:rsid w:val="00C6120B"/>
    <w:rsid w:val="00C612B8"/>
    <w:rsid w:val="00C613AD"/>
    <w:rsid w:val="00C614CF"/>
    <w:rsid w:val="00C616BD"/>
    <w:rsid w:val="00C6197B"/>
    <w:rsid w:val="00C61A7F"/>
    <w:rsid w:val="00C61AC9"/>
    <w:rsid w:val="00C61BB1"/>
    <w:rsid w:val="00C61C3F"/>
    <w:rsid w:val="00C61CA3"/>
    <w:rsid w:val="00C61CF2"/>
    <w:rsid w:val="00C61D8F"/>
    <w:rsid w:val="00C61E82"/>
    <w:rsid w:val="00C61E97"/>
    <w:rsid w:val="00C61ECC"/>
    <w:rsid w:val="00C61EDE"/>
    <w:rsid w:val="00C6208A"/>
    <w:rsid w:val="00C620A2"/>
    <w:rsid w:val="00C620F6"/>
    <w:rsid w:val="00C621BA"/>
    <w:rsid w:val="00C623E5"/>
    <w:rsid w:val="00C62406"/>
    <w:rsid w:val="00C62435"/>
    <w:rsid w:val="00C62445"/>
    <w:rsid w:val="00C625D5"/>
    <w:rsid w:val="00C62669"/>
    <w:rsid w:val="00C62718"/>
    <w:rsid w:val="00C62758"/>
    <w:rsid w:val="00C6278F"/>
    <w:rsid w:val="00C62B7C"/>
    <w:rsid w:val="00C62BFE"/>
    <w:rsid w:val="00C62EB3"/>
    <w:rsid w:val="00C62FD1"/>
    <w:rsid w:val="00C630BE"/>
    <w:rsid w:val="00C6324E"/>
    <w:rsid w:val="00C63272"/>
    <w:rsid w:val="00C632BA"/>
    <w:rsid w:val="00C632E4"/>
    <w:rsid w:val="00C63491"/>
    <w:rsid w:val="00C634AD"/>
    <w:rsid w:val="00C6357C"/>
    <w:rsid w:val="00C635B7"/>
    <w:rsid w:val="00C6364F"/>
    <w:rsid w:val="00C63930"/>
    <w:rsid w:val="00C63AEB"/>
    <w:rsid w:val="00C63B0B"/>
    <w:rsid w:val="00C63BED"/>
    <w:rsid w:val="00C63D04"/>
    <w:rsid w:val="00C63F15"/>
    <w:rsid w:val="00C64006"/>
    <w:rsid w:val="00C640CD"/>
    <w:rsid w:val="00C640D3"/>
    <w:rsid w:val="00C642DB"/>
    <w:rsid w:val="00C64387"/>
    <w:rsid w:val="00C6445C"/>
    <w:rsid w:val="00C644C9"/>
    <w:rsid w:val="00C6452A"/>
    <w:rsid w:val="00C64688"/>
    <w:rsid w:val="00C646AB"/>
    <w:rsid w:val="00C646B1"/>
    <w:rsid w:val="00C64748"/>
    <w:rsid w:val="00C648D3"/>
    <w:rsid w:val="00C64904"/>
    <w:rsid w:val="00C64984"/>
    <w:rsid w:val="00C649ED"/>
    <w:rsid w:val="00C64AE8"/>
    <w:rsid w:val="00C64B3E"/>
    <w:rsid w:val="00C64C53"/>
    <w:rsid w:val="00C64DD3"/>
    <w:rsid w:val="00C64F3F"/>
    <w:rsid w:val="00C64F98"/>
    <w:rsid w:val="00C64FDE"/>
    <w:rsid w:val="00C6512A"/>
    <w:rsid w:val="00C6515B"/>
    <w:rsid w:val="00C654E0"/>
    <w:rsid w:val="00C6573A"/>
    <w:rsid w:val="00C65840"/>
    <w:rsid w:val="00C658B3"/>
    <w:rsid w:val="00C6594C"/>
    <w:rsid w:val="00C65A6A"/>
    <w:rsid w:val="00C65ADD"/>
    <w:rsid w:val="00C65B3B"/>
    <w:rsid w:val="00C65B5E"/>
    <w:rsid w:val="00C65D84"/>
    <w:rsid w:val="00C65E17"/>
    <w:rsid w:val="00C65E31"/>
    <w:rsid w:val="00C65F33"/>
    <w:rsid w:val="00C65F86"/>
    <w:rsid w:val="00C65F91"/>
    <w:rsid w:val="00C65FF8"/>
    <w:rsid w:val="00C660B9"/>
    <w:rsid w:val="00C66229"/>
    <w:rsid w:val="00C66372"/>
    <w:rsid w:val="00C66460"/>
    <w:rsid w:val="00C66495"/>
    <w:rsid w:val="00C6653B"/>
    <w:rsid w:val="00C66557"/>
    <w:rsid w:val="00C66577"/>
    <w:rsid w:val="00C666B2"/>
    <w:rsid w:val="00C66A61"/>
    <w:rsid w:val="00C66E6C"/>
    <w:rsid w:val="00C66E9E"/>
    <w:rsid w:val="00C66F56"/>
    <w:rsid w:val="00C66F87"/>
    <w:rsid w:val="00C66FEF"/>
    <w:rsid w:val="00C6701F"/>
    <w:rsid w:val="00C6708C"/>
    <w:rsid w:val="00C670BA"/>
    <w:rsid w:val="00C670E1"/>
    <w:rsid w:val="00C67108"/>
    <w:rsid w:val="00C6710C"/>
    <w:rsid w:val="00C6713F"/>
    <w:rsid w:val="00C67175"/>
    <w:rsid w:val="00C67273"/>
    <w:rsid w:val="00C67339"/>
    <w:rsid w:val="00C675E7"/>
    <w:rsid w:val="00C67627"/>
    <w:rsid w:val="00C67636"/>
    <w:rsid w:val="00C67685"/>
    <w:rsid w:val="00C676CA"/>
    <w:rsid w:val="00C6772A"/>
    <w:rsid w:val="00C678E5"/>
    <w:rsid w:val="00C679BE"/>
    <w:rsid w:val="00C67A17"/>
    <w:rsid w:val="00C67A59"/>
    <w:rsid w:val="00C67A8B"/>
    <w:rsid w:val="00C67AFB"/>
    <w:rsid w:val="00C67B79"/>
    <w:rsid w:val="00C67E17"/>
    <w:rsid w:val="00C67E6D"/>
    <w:rsid w:val="00C67FB2"/>
    <w:rsid w:val="00C67FCB"/>
    <w:rsid w:val="00C703BD"/>
    <w:rsid w:val="00C704A2"/>
    <w:rsid w:val="00C705C0"/>
    <w:rsid w:val="00C7069D"/>
    <w:rsid w:val="00C707E8"/>
    <w:rsid w:val="00C707EA"/>
    <w:rsid w:val="00C70824"/>
    <w:rsid w:val="00C70841"/>
    <w:rsid w:val="00C70A00"/>
    <w:rsid w:val="00C70A4E"/>
    <w:rsid w:val="00C70AC2"/>
    <w:rsid w:val="00C70B0E"/>
    <w:rsid w:val="00C70CA8"/>
    <w:rsid w:val="00C70E1A"/>
    <w:rsid w:val="00C70E32"/>
    <w:rsid w:val="00C70F08"/>
    <w:rsid w:val="00C70F15"/>
    <w:rsid w:val="00C71083"/>
    <w:rsid w:val="00C7115D"/>
    <w:rsid w:val="00C71192"/>
    <w:rsid w:val="00C713E0"/>
    <w:rsid w:val="00C713ED"/>
    <w:rsid w:val="00C715ED"/>
    <w:rsid w:val="00C716A9"/>
    <w:rsid w:val="00C716BD"/>
    <w:rsid w:val="00C717AA"/>
    <w:rsid w:val="00C71811"/>
    <w:rsid w:val="00C71823"/>
    <w:rsid w:val="00C7188B"/>
    <w:rsid w:val="00C718AE"/>
    <w:rsid w:val="00C71940"/>
    <w:rsid w:val="00C7194C"/>
    <w:rsid w:val="00C71A06"/>
    <w:rsid w:val="00C71A46"/>
    <w:rsid w:val="00C71C79"/>
    <w:rsid w:val="00C71D7C"/>
    <w:rsid w:val="00C71DDA"/>
    <w:rsid w:val="00C71F79"/>
    <w:rsid w:val="00C7210D"/>
    <w:rsid w:val="00C7217B"/>
    <w:rsid w:val="00C722F5"/>
    <w:rsid w:val="00C72318"/>
    <w:rsid w:val="00C72437"/>
    <w:rsid w:val="00C7247D"/>
    <w:rsid w:val="00C724E6"/>
    <w:rsid w:val="00C72500"/>
    <w:rsid w:val="00C72519"/>
    <w:rsid w:val="00C7253F"/>
    <w:rsid w:val="00C7254F"/>
    <w:rsid w:val="00C7267A"/>
    <w:rsid w:val="00C727C9"/>
    <w:rsid w:val="00C7288B"/>
    <w:rsid w:val="00C7289A"/>
    <w:rsid w:val="00C72B4F"/>
    <w:rsid w:val="00C72C1F"/>
    <w:rsid w:val="00C72D7C"/>
    <w:rsid w:val="00C72DF4"/>
    <w:rsid w:val="00C72E04"/>
    <w:rsid w:val="00C730A6"/>
    <w:rsid w:val="00C730E4"/>
    <w:rsid w:val="00C73278"/>
    <w:rsid w:val="00C73682"/>
    <w:rsid w:val="00C736AA"/>
    <w:rsid w:val="00C73701"/>
    <w:rsid w:val="00C73723"/>
    <w:rsid w:val="00C73750"/>
    <w:rsid w:val="00C737EB"/>
    <w:rsid w:val="00C73833"/>
    <w:rsid w:val="00C738C8"/>
    <w:rsid w:val="00C73B58"/>
    <w:rsid w:val="00C73CA5"/>
    <w:rsid w:val="00C73CD1"/>
    <w:rsid w:val="00C73FC5"/>
    <w:rsid w:val="00C741E7"/>
    <w:rsid w:val="00C74272"/>
    <w:rsid w:val="00C745E7"/>
    <w:rsid w:val="00C747A5"/>
    <w:rsid w:val="00C74808"/>
    <w:rsid w:val="00C7487A"/>
    <w:rsid w:val="00C74896"/>
    <w:rsid w:val="00C749B3"/>
    <w:rsid w:val="00C749DE"/>
    <w:rsid w:val="00C74AB8"/>
    <w:rsid w:val="00C74AEE"/>
    <w:rsid w:val="00C74CFA"/>
    <w:rsid w:val="00C74D0C"/>
    <w:rsid w:val="00C74D82"/>
    <w:rsid w:val="00C74E62"/>
    <w:rsid w:val="00C74F6B"/>
    <w:rsid w:val="00C75322"/>
    <w:rsid w:val="00C75348"/>
    <w:rsid w:val="00C7550E"/>
    <w:rsid w:val="00C75527"/>
    <w:rsid w:val="00C75532"/>
    <w:rsid w:val="00C7596E"/>
    <w:rsid w:val="00C75AC4"/>
    <w:rsid w:val="00C75C2F"/>
    <w:rsid w:val="00C75C48"/>
    <w:rsid w:val="00C75E59"/>
    <w:rsid w:val="00C75EDF"/>
    <w:rsid w:val="00C75FF9"/>
    <w:rsid w:val="00C76057"/>
    <w:rsid w:val="00C761A5"/>
    <w:rsid w:val="00C76659"/>
    <w:rsid w:val="00C767BD"/>
    <w:rsid w:val="00C768A5"/>
    <w:rsid w:val="00C76977"/>
    <w:rsid w:val="00C76C51"/>
    <w:rsid w:val="00C76CB4"/>
    <w:rsid w:val="00C7700F"/>
    <w:rsid w:val="00C771CA"/>
    <w:rsid w:val="00C77598"/>
    <w:rsid w:val="00C7767B"/>
    <w:rsid w:val="00C776A7"/>
    <w:rsid w:val="00C777C7"/>
    <w:rsid w:val="00C77883"/>
    <w:rsid w:val="00C77980"/>
    <w:rsid w:val="00C77B6E"/>
    <w:rsid w:val="00C77CF6"/>
    <w:rsid w:val="00C77D92"/>
    <w:rsid w:val="00C77EC2"/>
    <w:rsid w:val="00C77FA2"/>
    <w:rsid w:val="00C80282"/>
    <w:rsid w:val="00C8029C"/>
    <w:rsid w:val="00C80315"/>
    <w:rsid w:val="00C803E4"/>
    <w:rsid w:val="00C80517"/>
    <w:rsid w:val="00C80696"/>
    <w:rsid w:val="00C806B3"/>
    <w:rsid w:val="00C80860"/>
    <w:rsid w:val="00C809AD"/>
    <w:rsid w:val="00C80A23"/>
    <w:rsid w:val="00C80B0C"/>
    <w:rsid w:val="00C80E7E"/>
    <w:rsid w:val="00C80F7F"/>
    <w:rsid w:val="00C81070"/>
    <w:rsid w:val="00C81131"/>
    <w:rsid w:val="00C81177"/>
    <w:rsid w:val="00C81181"/>
    <w:rsid w:val="00C81291"/>
    <w:rsid w:val="00C8145D"/>
    <w:rsid w:val="00C8159D"/>
    <w:rsid w:val="00C815DD"/>
    <w:rsid w:val="00C816A7"/>
    <w:rsid w:val="00C81721"/>
    <w:rsid w:val="00C817C3"/>
    <w:rsid w:val="00C81C9E"/>
    <w:rsid w:val="00C81CD3"/>
    <w:rsid w:val="00C81E93"/>
    <w:rsid w:val="00C81FB9"/>
    <w:rsid w:val="00C8202F"/>
    <w:rsid w:val="00C820CA"/>
    <w:rsid w:val="00C8215A"/>
    <w:rsid w:val="00C8215E"/>
    <w:rsid w:val="00C8218C"/>
    <w:rsid w:val="00C82391"/>
    <w:rsid w:val="00C823A6"/>
    <w:rsid w:val="00C823D3"/>
    <w:rsid w:val="00C823DC"/>
    <w:rsid w:val="00C824C2"/>
    <w:rsid w:val="00C824FC"/>
    <w:rsid w:val="00C82540"/>
    <w:rsid w:val="00C8260F"/>
    <w:rsid w:val="00C82668"/>
    <w:rsid w:val="00C826CF"/>
    <w:rsid w:val="00C826D7"/>
    <w:rsid w:val="00C82713"/>
    <w:rsid w:val="00C8285E"/>
    <w:rsid w:val="00C82A2E"/>
    <w:rsid w:val="00C82B09"/>
    <w:rsid w:val="00C82B40"/>
    <w:rsid w:val="00C82B91"/>
    <w:rsid w:val="00C82D42"/>
    <w:rsid w:val="00C82E37"/>
    <w:rsid w:val="00C82E5B"/>
    <w:rsid w:val="00C83020"/>
    <w:rsid w:val="00C831A2"/>
    <w:rsid w:val="00C8324F"/>
    <w:rsid w:val="00C832F3"/>
    <w:rsid w:val="00C832FF"/>
    <w:rsid w:val="00C834D9"/>
    <w:rsid w:val="00C83536"/>
    <w:rsid w:val="00C83685"/>
    <w:rsid w:val="00C836C4"/>
    <w:rsid w:val="00C8379E"/>
    <w:rsid w:val="00C83840"/>
    <w:rsid w:val="00C83975"/>
    <w:rsid w:val="00C839D1"/>
    <w:rsid w:val="00C83AAD"/>
    <w:rsid w:val="00C83AC9"/>
    <w:rsid w:val="00C83B3B"/>
    <w:rsid w:val="00C83B61"/>
    <w:rsid w:val="00C83BF1"/>
    <w:rsid w:val="00C83F1A"/>
    <w:rsid w:val="00C840AB"/>
    <w:rsid w:val="00C84143"/>
    <w:rsid w:val="00C841A4"/>
    <w:rsid w:val="00C84206"/>
    <w:rsid w:val="00C8422E"/>
    <w:rsid w:val="00C84258"/>
    <w:rsid w:val="00C8431B"/>
    <w:rsid w:val="00C843A3"/>
    <w:rsid w:val="00C843C1"/>
    <w:rsid w:val="00C84456"/>
    <w:rsid w:val="00C847BA"/>
    <w:rsid w:val="00C84995"/>
    <w:rsid w:val="00C849D2"/>
    <w:rsid w:val="00C84A66"/>
    <w:rsid w:val="00C84AFF"/>
    <w:rsid w:val="00C84BAD"/>
    <w:rsid w:val="00C84BD7"/>
    <w:rsid w:val="00C84D75"/>
    <w:rsid w:val="00C84E52"/>
    <w:rsid w:val="00C8504B"/>
    <w:rsid w:val="00C850F0"/>
    <w:rsid w:val="00C8525B"/>
    <w:rsid w:val="00C85303"/>
    <w:rsid w:val="00C85314"/>
    <w:rsid w:val="00C855B2"/>
    <w:rsid w:val="00C8565C"/>
    <w:rsid w:val="00C856AE"/>
    <w:rsid w:val="00C8575E"/>
    <w:rsid w:val="00C857B3"/>
    <w:rsid w:val="00C8586B"/>
    <w:rsid w:val="00C85A19"/>
    <w:rsid w:val="00C85A4F"/>
    <w:rsid w:val="00C85AA8"/>
    <w:rsid w:val="00C85F39"/>
    <w:rsid w:val="00C863E1"/>
    <w:rsid w:val="00C863F3"/>
    <w:rsid w:val="00C8657E"/>
    <w:rsid w:val="00C86670"/>
    <w:rsid w:val="00C8667C"/>
    <w:rsid w:val="00C86806"/>
    <w:rsid w:val="00C86902"/>
    <w:rsid w:val="00C86953"/>
    <w:rsid w:val="00C86A91"/>
    <w:rsid w:val="00C86B8B"/>
    <w:rsid w:val="00C86C20"/>
    <w:rsid w:val="00C86D60"/>
    <w:rsid w:val="00C86DB7"/>
    <w:rsid w:val="00C86E52"/>
    <w:rsid w:val="00C86E68"/>
    <w:rsid w:val="00C86F7B"/>
    <w:rsid w:val="00C86FCC"/>
    <w:rsid w:val="00C87096"/>
    <w:rsid w:val="00C8718C"/>
    <w:rsid w:val="00C872AD"/>
    <w:rsid w:val="00C87322"/>
    <w:rsid w:val="00C873AE"/>
    <w:rsid w:val="00C873DD"/>
    <w:rsid w:val="00C874C6"/>
    <w:rsid w:val="00C874E9"/>
    <w:rsid w:val="00C87556"/>
    <w:rsid w:val="00C87789"/>
    <w:rsid w:val="00C87790"/>
    <w:rsid w:val="00C877C2"/>
    <w:rsid w:val="00C87869"/>
    <w:rsid w:val="00C8799B"/>
    <w:rsid w:val="00C87B7C"/>
    <w:rsid w:val="00C87CA2"/>
    <w:rsid w:val="00C87F7E"/>
    <w:rsid w:val="00C87F89"/>
    <w:rsid w:val="00C87FDF"/>
    <w:rsid w:val="00C90002"/>
    <w:rsid w:val="00C90390"/>
    <w:rsid w:val="00C90659"/>
    <w:rsid w:val="00C90842"/>
    <w:rsid w:val="00C9088D"/>
    <w:rsid w:val="00C90896"/>
    <w:rsid w:val="00C908F3"/>
    <w:rsid w:val="00C90A36"/>
    <w:rsid w:val="00C90A78"/>
    <w:rsid w:val="00C90D5B"/>
    <w:rsid w:val="00C90D68"/>
    <w:rsid w:val="00C90DA2"/>
    <w:rsid w:val="00C90E70"/>
    <w:rsid w:val="00C91030"/>
    <w:rsid w:val="00C9126E"/>
    <w:rsid w:val="00C912B8"/>
    <w:rsid w:val="00C91312"/>
    <w:rsid w:val="00C91381"/>
    <w:rsid w:val="00C913B0"/>
    <w:rsid w:val="00C914FD"/>
    <w:rsid w:val="00C9153F"/>
    <w:rsid w:val="00C915C4"/>
    <w:rsid w:val="00C91664"/>
    <w:rsid w:val="00C91677"/>
    <w:rsid w:val="00C9179A"/>
    <w:rsid w:val="00C918DE"/>
    <w:rsid w:val="00C91C82"/>
    <w:rsid w:val="00C91DCB"/>
    <w:rsid w:val="00C91F03"/>
    <w:rsid w:val="00C91F6B"/>
    <w:rsid w:val="00C92009"/>
    <w:rsid w:val="00C9204E"/>
    <w:rsid w:val="00C92109"/>
    <w:rsid w:val="00C92164"/>
    <w:rsid w:val="00C92221"/>
    <w:rsid w:val="00C923DA"/>
    <w:rsid w:val="00C923E7"/>
    <w:rsid w:val="00C92586"/>
    <w:rsid w:val="00C9286E"/>
    <w:rsid w:val="00C92953"/>
    <w:rsid w:val="00C92A50"/>
    <w:rsid w:val="00C92BDF"/>
    <w:rsid w:val="00C92BE0"/>
    <w:rsid w:val="00C92C43"/>
    <w:rsid w:val="00C92E14"/>
    <w:rsid w:val="00C92EA5"/>
    <w:rsid w:val="00C930AD"/>
    <w:rsid w:val="00C930AF"/>
    <w:rsid w:val="00C9319A"/>
    <w:rsid w:val="00C93310"/>
    <w:rsid w:val="00C93510"/>
    <w:rsid w:val="00C936B9"/>
    <w:rsid w:val="00C93703"/>
    <w:rsid w:val="00C93748"/>
    <w:rsid w:val="00C93772"/>
    <w:rsid w:val="00C93883"/>
    <w:rsid w:val="00C9388B"/>
    <w:rsid w:val="00C938E9"/>
    <w:rsid w:val="00C9392B"/>
    <w:rsid w:val="00C939C0"/>
    <w:rsid w:val="00C93AB5"/>
    <w:rsid w:val="00C93B11"/>
    <w:rsid w:val="00C93B14"/>
    <w:rsid w:val="00C93B21"/>
    <w:rsid w:val="00C93C5F"/>
    <w:rsid w:val="00C93C98"/>
    <w:rsid w:val="00C93CA0"/>
    <w:rsid w:val="00C93D19"/>
    <w:rsid w:val="00C93DB8"/>
    <w:rsid w:val="00C93DC6"/>
    <w:rsid w:val="00C93E33"/>
    <w:rsid w:val="00C93ED2"/>
    <w:rsid w:val="00C9407A"/>
    <w:rsid w:val="00C94430"/>
    <w:rsid w:val="00C94439"/>
    <w:rsid w:val="00C945E1"/>
    <w:rsid w:val="00C945EB"/>
    <w:rsid w:val="00C94678"/>
    <w:rsid w:val="00C947B4"/>
    <w:rsid w:val="00C94A45"/>
    <w:rsid w:val="00C94A5E"/>
    <w:rsid w:val="00C94AB0"/>
    <w:rsid w:val="00C94C0D"/>
    <w:rsid w:val="00C94CB5"/>
    <w:rsid w:val="00C94D67"/>
    <w:rsid w:val="00C94F86"/>
    <w:rsid w:val="00C94FA0"/>
    <w:rsid w:val="00C95269"/>
    <w:rsid w:val="00C95297"/>
    <w:rsid w:val="00C952F1"/>
    <w:rsid w:val="00C9535E"/>
    <w:rsid w:val="00C9541E"/>
    <w:rsid w:val="00C95504"/>
    <w:rsid w:val="00C9556D"/>
    <w:rsid w:val="00C9556E"/>
    <w:rsid w:val="00C955E3"/>
    <w:rsid w:val="00C9565D"/>
    <w:rsid w:val="00C958B1"/>
    <w:rsid w:val="00C95B2F"/>
    <w:rsid w:val="00C95BA8"/>
    <w:rsid w:val="00C95BB3"/>
    <w:rsid w:val="00C95D06"/>
    <w:rsid w:val="00C95DC2"/>
    <w:rsid w:val="00C95F44"/>
    <w:rsid w:val="00C96187"/>
    <w:rsid w:val="00C9621F"/>
    <w:rsid w:val="00C96381"/>
    <w:rsid w:val="00C9639A"/>
    <w:rsid w:val="00C964E0"/>
    <w:rsid w:val="00C96559"/>
    <w:rsid w:val="00C9655B"/>
    <w:rsid w:val="00C96563"/>
    <w:rsid w:val="00C9659F"/>
    <w:rsid w:val="00C965B8"/>
    <w:rsid w:val="00C965E4"/>
    <w:rsid w:val="00C9666E"/>
    <w:rsid w:val="00C96723"/>
    <w:rsid w:val="00C967E4"/>
    <w:rsid w:val="00C96801"/>
    <w:rsid w:val="00C9681C"/>
    <w:rsid w:val="00C96906"/>
    <w:rsid w:val="00C96B4B"/>
    <w:rsid w:val="00C96E1D"/>
    <w:rsid w:val="00C96EAA"/>
    <w:rsid w:val="00C96EC6"/>
    <w:rsid w:val="00C96F32"/>
    <w:rsid w:val="00C96FBF"/>
    <w:rsid w:val="00C97016"/>
    <w:rsid w:val="00C97214"/>
    <w:rsid w:val="00C972DB"/>
    <w:rsid w:val="00C97342"/>
    <w:rsid w:val="00C97355"/>
    <w:rsid w:val="00C9736F"/>
    <w:rsid w:val="00C974B3"/>
    <w:rsid w:val="00C974CD"/>
    <w:rsid w:val="00C974F9"/>
    <w:rsid w:val="00C97632"/>
    <w:rsid w:val="00C97789"/>
    <w:rsid w:val="00C97799"/>
    <w:rsid w:val="00C977EC"/>
    <w:rsid w:val="00C97875"/>
    <w:rsid w:val="00C9787D"/>
    <w:rsid w:val="00C978BC"/>
    <w:rsid w:val="00C9790A"/>
    <w:rsid w:val="00C97968"/>
    <w:rsid w:val="00C979C8"/>
    <w:rsid w:val="00C97C6D"/>
    <w:rsid w:val="00C97FE7"/>
    <w:rsid w:val="00CA0072"/>
    <w:rsid w:val="00CA0116"/>
    <w:rsid w:val="00CA0140"/>
    <w:rsid w:val="00CA02FD"/>
    <w:rsid w:val="00CA0347"/>
    <w:rsid w:val="00CA0408"/>
    <w:rsid w:val="00CA04B0"/>
    <w:rsid w:val="00CA0538"/>
    <w:rsid w:val="00CA0570"/>
    <w:rsid w:val="00CA06AF"/>
    <w:rsid w:val="00CA074F"/>
    <w:rsid w:val="00CA09C9"/>
    <w:rsid w:val="00CA0B01"/>
    <w:rsid w:val="00CA0B2F"/>
    <w:rsid w:val="00CA0BEA"/>
    <w:rsid w:val="00CA0C4F"/>
    <w:rsid w:val="00CA0C99"/>
    <w:rsid w:val="00CA0D67"/>
    <w:rsid w:val="00CA0DA5"/>
    <w:rsid w:val="00CA0E33"/>
    <w:rsid w:val="00CA0E61"/>
    <w:rsid w:val="00CA1393"/>
    <w:rsid w:val="00CA1425"/>
    <w:rsid w:val="00CA14DE"/>
    <w:rsid w:val="00CA159C"/>
    <w:rsid w:val="00CA1698"/>
    <w:rsid w:val="00CA1834"/>
    <w:rsid w:val="00CA18B5"/>
    <w:rsid w:val="00CA18E2"/>
    <w:rsid w:val="00CA18F6"/>
    <w:rsid w:val="00CA192A"/>
    <w:rsid w:val="00CA1AB7"/>
    <w:rsid w:val="00CA1AC4"/>
    <w:rsid w:val="00CA1B09"/>
    <w:rsid w:val="00CA1B43"/>
    <w:rsid w:val="00CA1E11"/>
    <w:rsid w:val="00CA1E5A"/>
    <w:rsid w:val="00CA2014"/>
    <w:rsid w:val="00CA201A"/>
    <w:rsid w:val="00CA2125"/>
    <w:rsid w:val="00CA2481"/>
    <w:rsid w:val="00CA26D8"/>
    <w:rsid w:val="00CA2765"/>
    <w:rsid w:val="00CA27DA"/>
    <w:rsid w:val="00CA28ED"/>
    <w:rsid w:val="00CA2967"/>
    <w:rsid w:val="00CA2BDD"/>
    <w:rsid w:val="00CA2CB4"/>
    <w:rsid w:val="00CA2D19"/>
    <w:rsid w:val="00CA2F40"/>
    <w:rsid w:val="00CA2FBA"/>
    <w:rsid w:val="00CA2FD7"/>
    <w:rsid w:val="00CA3172"/>
    <w:rsid w:val="00CA321E"/>
    <w:rsid w:val="00CA3394"/>
    <w:rsid w:val="00CA3461"/>
    <w:rsid w:val="00CA3808"/>
    <w:rsid w:val="00CA3958"/>
    <w:rsid w:val="00CA39B4"/>
    <w:rsid w:val="00CA39E3"/>
    <w:rsid w:val="00CA3A24"/>
    <w:rsid w:val="00CA3C6E"/>
    <w:rsid w:val="00CA3EB6"/>
    <w:rsid w:val="00CA3EDB"/>
    <w:rsid w:val="00CA4028"/>
    <w:rsid w:val="00CA40CE"/>
    <w:rsid w:val="00CA414B"/>
    <w:rsid w:val="00CA4193"/>
    <w:rsid w:val="00CA41F9"/>
    <w:rsid w:val="00CA4291"/>
    <w:rsid w:val="00CA4363"/>
    <w:rsid w:val="00CA4377"/>
    <w:rsid w:val="00CA452D"/>
    <w:rsid w:val="00CA475D"/>
    <w:rsid w:val="00CA49C4"/>
    <w:rsid w:val="00CA49F6"/>
    <w:rsid w:val="00CA4A31"/>
    <w:rsid w:val="00CA4B2A"/>
    <w:rsid w:val="00CA4B97"/>
    <w:rsid w:val="00CA4BC0"/>
    <w:rsid w:val="00CA4C00"/>
    <w:rsid w:val="00CA4D94"/>
    <w:rsid w:val="00CA4DEF"/>
    <w:rsid w:val="00CA4E18"/>
    <w:rsid w:val="00CA4E7F"/>
    <w:rsid w:val="00CA4FF7"/>
    <w:rsid w:val="00CA5007"/>
    <w:rsid w:val="00CA50AB"/>
    <w:rsid w:val="00CA51C0"/>
    <w:rsid w:val="00CA5249"/>
    <w:rsid w:val="00CA531F"/>
    <w:rsid w:val="00CA5377"/>
    <w:rsid w:val="00CA5481"/>
    <w:rsid w:val="00CA55E7"/>
    <w:rsid w:val="00CA5717"/>
    <w:rsid w:val="00CA572B"/>
    <w:rsid w:val="00CA582C"/>
    <w:rsid w:val="00CA5A52"/>
    <w:rsid w:val="00CA5B05"/>
    <w:rsid w:val="00CA5B9E"/>
    <w:rsid w:val="00CA5BA2"/>
    <w:rsid w:val="00CA5C6A"/>
    <w:rsid w:val="00CA5C6B"/>
    <w:rsid w:val="00CA5C9A"/>
    <w:rsid w:val="00CA5CA8"/>
    <w:rsid w:val="00CA5D58"/>
    <w:rsid w:val="00CA5E10"/>
    <w:rsid w:val="00CA5E6C"/>
    <w:rsid w:val="00CA5F28"/>
    <w:rsid w:val="00CA5F57"/>
    <w:rsid w:val="00CA5F96"/>
    <w:rsid w:val="00CA6024"/>
    <w:rsid w:val="00CA602A"/>
    <w:rsid w:val="00CA623C"/>
    <w:rsid w:val="00CA62B3"/>
    <w:rsid w:val="00CA64AF"/>
    <w:rsid w:val="00CA64CD"/>
    <w:rsid w:val="00CA66A1"/>
    <w:rsid w:val="00CA67CD"/>
    <w:rsid w:val="00CA689A"/>
    <w:rsid w:val="00CA6971"/>
    <w:rsid w:val="00CA6BD6"/>
    <w:rsid w:val="00CA6C42"/>
    <w:rsid w:val="00CA6E30"/>
    <w:rsid w:val="00CA6FB9"/>
    <w:rsid w:val="00CA6FFF"/>
    <w:rsid w:val="00CA7105"/>
    <w:rsid w:val="00CA7130"/>
    <w:rsid w:val="00CA714C"/>
    <w:rsid w:val="00CA7285"/>
    <w:rsid w:val="00CA72B2"/>
    <w:rsid w:val="00CA73F3"/>
    <w:rsid w:val="00CA73FD"/>
    <w:rsid w:val="00CA757B"/>
    <w:rsid w:val="00CA75D2"/>
    <w:rsid w:val="00CA761F"/>
    <w:rsid w:val="00CA76DE"/>
    <w:rsid w:val="00CA78BC"/>
    <w:rsid w:val="00CA796A"/>
    <w:rsid w:val="00CA7A68"/>
    <w:rsid w:val="00CA7ABA"/>
    <w:rsid w:val="00CA7B58"/>
    <w:rsid w:val="00CA7CF0"/>
    <w:rsid w:val="00CA7D96"/>
    <w:rsid w:val="00CA7ECE"/>
    <w:rsid w:val="00CA7F4E"/>
    <w:rsid w:val="00CB007A"/>
    <w:rsid w:val="00CB0140"/>
    <w:rsid w:val="00CB0157"/>
    <w:rsid w:val="00CB0348"/>
    <w:rsid w:val="00CB0359"/>
    <w:rsid w:val="00CB03FD"/>
    <w:rsid w:val="00CB04E4"/>
    <w:rsid w:val="00CB0564"/>
    <w:rsid w:val="00CB062D"/>
    <w:rsid w:val="00CB0722"/>
    <w:rsid w:val="00CB07FB"/>
    <w:rsid w:val="00CB07FC"/>
    <w:rsid w:val="00CB0836"/>
    <w:rsid w:val="00CB0886"/>
    <w:rsid w:val="00CB0926"/>
    <w:rsid w:val="00CB0B0C"/>
    <w:rsid w:val="00CB0B13"/>
    <w:rsid w:val="00CB0B8B"/>
    <w:rsid w:val="00CB0C71"/>
    <w:rsid w:val="00CB0D35"/>
    <w:rsid w:val="00CB0E94"/>
    <w:rsid w:val="00CB10D0"/>
    <w:rsid w:val="00CB1115"/>
    <w:rsid w:val="00CB12A8"/>
    <w:rsid w:val="00CB132B"/>
    <w:rsid w:val="00CB14F7"/>
    <w:rsid w:val="00CB15EC"/>
    <w:rsid w:val="00CB1625"/>
    <w:rsid w:val="00CB16ED"/>
    <w:rsid w:val="00CB17A2"/>
    <w:rsid w:val="00CB17C9"/>
    <w:rsid w:val="00CB185E"/>
    <w:rsid w:val="00CB1886"/>
    <w:rsid w:val="00CB193F"/>
    <w:rsid w:val="00CB19C1"/>
    <w:rsid w:val="00CB1AB9"/>
    <w:rsid w:val="00CB1AEA"/>
    <w:rsid w:val="00CB1B13"/>
    <w:rsid w:val="00CB1BC6"/>
    <w:rsid w:val="00CB1BD4"/>
    <w:rsid w:val="00CB1BE8"/>
    <w:rsid w:val="00CB1E5E"/>
    <w:rsid w:val="00CB1E8C"/>
    <w:rsid w:val="00CB1FED"/>
    <w:rsid w:val="00CB1FEF"/>
    <w:rsid w:val="00CB2178"/>
    <w:rsid w:val="00CB217A"/>
    <w:rsid w:val="00CB218E"/>
    <w:rsid w:val="00CB21CC"/>
    <w:rsid w:val="00CB21D3"/>
    <w:rsid w:val="00CB226A"/>
    <w:rsid w:val="00CB2512"/>
    <w:rsid w:val="00CB2521"/>
    <w:rsid w:val="00CB258C"/>
    <w:rsid w:val="00CB274D"/>
    <w:rsid w:val="00CB27C7"/>
    <w:rsid w:val="00CB2827"/>
    <w:rsid w:val="00CB28A8"/>
    <w:rsid w:val="00CB28E9"/>
    <w:rsid w:val="00CB291A"/>
    <w:rsid w:val="00CB2928"/>
    <w:rsid w:val="00CB2AFB"/>
    <w:rsid w:val="00CB2FBB"/>
    <w:rsid w:val="00CB3037"/>
    <w:rsid w:val="00CB306A"/>
    <w:rsid w:val="00CB31F9"/>
    <w:rsid w:val="00CB332F"/>
    <w:rsid w:val="00CB3345"/>
    <w:rsid w:val="00CB33BE"/>
    <w:rsid w:val="00CB3401"/>
    <w:rsid w:val="00CB352E"/>
    <w:rsid w:val="00CB359A"/>
    <w:rsid w:val="00CB39BA"/>
    <w:rsid w:val="00CB3E24"/>
    <w:rsid w:val="00CB3FF3"/>
    <w:rsid w:val="00CB40B5"/>
    <w:rsid w:val="00CB413F"/>
    <w:rsid w:val="00CB4185"/>
    <w:rsid w:val="00CB43FA"/>
    <w:rsid w:val="00CB4470"/>
    <w:rsid w:val="00CB44DD"/>
    <w:rsid w:val="00CB44FA"/>
    <w:rsid w:val="00CB456A"/>
    <w:rsid w:val="00CB47F6"/>
    <w:rsid w:val="00CB48A9"/>
    <w:rsid w:val="00CB49FA"/>
    <w:rsid w:val="00CB4ABA"/>
    <w:rsid w:val="00CB4C7F"/>
    <w:rsid w:val="00CB4FEC"/>
    <w:rsid w:val="00CB5149"/>
    <w:rsid w:val="00CB5205"/>
    <w:rsid w:val="00CB5333"/>
    <w:rsid w:val="00CB5458"/>
    <w:rsid w:val="00CB5465"/>
    <w:rsid w:val="00CB5481"/>
    <w:rsid w:val="00CB551E"/>
    <w:rsid w:val="00CB56F4"/>
    <w:rsid w:val="00CB5923"/>
    <w:rsid w:val="00CB59D5"/>
    <w:rsid w:val="00CB5A23"/>
    <w:rsid w:val="00CB5B82"/>
    <w:rsid w:val="00CB5D1D"/>
    <w:rsid w:val="00CB5D61"/>
    <w:rsid w:val="00CB5E56"/>
    <w:rsid w:val="00CB5EBD"/>
    <w:rsid w:val="00CB611B"/>
    <w:rsid w:val="00CB6214"/>
    <w:rsid w:val="00CB6235"/>
    <w:rsid w:val="00CB6537"/>
    <w:rsid w:val="00CB65ED"/>
    <w:rsid w:val="00CB65F9"/>
    <w:rsid w:val="00CB6665"/>
    <w:rsid w:val="00CB67FE"/>
    <w:rsid w:val="00CB6950"/>
    <w:rsid w:val="00CB6A3C"/>
    <w:rsid w:val="00CB6A85"/>
    <w:rsid w:val="00CB6ABC"/>
    <w:rsid w:val="00CB6AD8"/>
    <w:rsid w:val="00CB6D83"/>
    <w:rsid w:val="00CB6DD0"/>
    <w:rsid w:val="00CB7029"/>
    <w:rsid w:val="00CB7039"/>
    <w:rsid w:val="00CB70F7"/>
    <w:rsid w:val="00CB7219"/>
    <w:rsid w:val="00CB7330"/>
    <w:rsid w:val="00CB7339"/>
    <w:rsid w:val="00CB733E"/>
    <w:rsid w:val="00CB7374"/>
    <w:rsid w:val="00CB74F2"/>
    <w:rsid w:val="00CB755F"/>
    <w:rsid w:val="00CB7610"/>
    <w:rsid w:val="00CB76CD"/>
    <w:rsid w:val="00CB76F8"/>
    <w:rsid w:val="00CB781F"/>
    <w:rsid w:val="00CB79D1"/>
    <w:rsid w:val="00CB7CAA"/>
    <w:rsid w:val="00CB7D55"/>
    <w:rsid w:val="00CB7E51"/>
    <w:rsid w:val="00CC003F"/>
    <w:rsid w:val="00CC007F"/>
    <w:rsid w:val="00CC01DA"/>
    <w:rsid w:val="00CC0235"/>
    <w:rsid w:val="00CC0398"/>
    <w:rsid w:val="00CC04EA"/>
    <w:rsid w:val="00CC0755"/>
    <w:rsid w:val="00CC07D5"/>
    <w:rsid w:val="00CC08F3"/>
    <w:rsid w:val="00CC0A5E"/>
    <w:rsid w:val="00CC0A9B"/>
    <w:rsid w:val="00CC0ABF"/>
    <w:rsid w:val="00CC0AE8"/>
    <w:rsid w:val="00CC0B15"/>
    <w:rsid w:val="00CC0E35"/>
    <w:rsid w:val="00CC0F4F"/>
    <w:rsid w:val="00CC1140"/>
    <w:rsid w:val="00CC115E"/>
    <w:rsid w:val="00CC1211"/>
    <w:rsid w:val="00CC124D"/>
    <w:rsid w:val="00CC145E"/>
    <w:rsid w:val="00CC1511"/>
    <w:rsid w:val="00CC1525"/>
    <w:rsid w:val="00CC15D8"/>
    <w:rsid w:val="00CC16BB"/>
    <w:rsid w:val="00CC179C"/>
    <w:rsid w:val="00CC19B8"/>
    <w:rsid w:val="00CC1A26"/>
    <w:rsid w:val="00CC1C5B"/>
    <w:rsid w:val="00CC1C9A"/>
    <w:rsid w:val="00CC1CD7"/>
    <w:rsid w:val="00CC1D80"/>
    <w:rsid w:val="00CC1DBA"/>
    <w:rsid w:val="00CC1E16"/>
    <w:rsid w:val="00CC2093"/>
    <w:rsid w:val="00CC221E"/>
    <w:rsid w:val="00CC2395"/>
    <w:rsid w:val="00CC23A6"/>
    <w:rsid w:val="00CC2546"/>
    <w:rsid w:val="00CC2582"/>
    <w:rsid w:val="00CC25C8"/>
    <w:rsid w:val="00CC26F4"/>
    <w:rsid w:val="00CC2732"/>
    <w:rsid w:val="00CC27D0"/>
    <w:rsid w:val="00CC28C7"/>
    <w:rsid w:val="00CC29D7"/>
    <w:rsid w:val="00CC2A5E"/>
    <w:rsid w:val="00CC2AF2"/>
    <w:rsid w:val="00CC2AF9"/>
    <w:rsid w:val="00CC2D1E"/>
    <w:rsid w:val="00CC2D5D"/>
    <w:rsid w:val="00CC2FC5"/>
    <w:rsid w:val="00CC315A"/>
    <w:rsid w:val="00CC3385"/>
    <w:rsid w:val="00CC3405"/>
    <w:rsid w:val="00CC347D"/>
    <w:rsid w:val="00CC3492"/>
    <w:rsid w:val="00CC34A4"/>
    <w:rsid w:val="00CC354C"/>
    <w:rsid w:val="00CC3662"/>
    <w:rsid w:val="00CC3676"/>
    <w:rsid w:val="00CC36D8"/>
    <w:rsid w:val="00CC36FE"/>
    <w:rsid w:val="00CC3714"/>
    <w:rsid w:val="00CC37D7"/>
    <w:rsid w:val="00CC38AC"/>
    <w:rsid w:val="00CC3958"/>
    <w:rsid w:val="00CC3976"/>
    <w:rsid w:val="00CC3AF2"/>
    <w:rsid w:val="00CC3B22"/>
    <w:rsid w:val="00CC3C1C"/>
    <w:rsid w:val="00CC3C21"/>
    <w:rsid w:val="00CC3C2E"/>
    <w:rsid w:val="00CC3D17"/>
    <w:rsid w:val="00CC3D1D"/>
    <w:rsid w:val="00CC3D3C"/>
    <w:rsid w:val="00CC406D"/>
    <w:rsid w:val="00CC4098"/>
    <w:rsid w:val="00CC4144"/>
    <w:rsid w:val="00CC41E4"/>
    <w:rsid w:val="00CC4450"/>
    <w:rsid w:val="00CC45DA"/>
    <w:rsid w:val="00CC4684"/>
    <w:rsid w:val="00CC4687"/>
    <w:rsid w:val="00CC4756"/>
    <w:rsid w:val="00CC4776"/>
    <w:rsid w:val="00CC488A"/>
    <w:rsid w:val="00CC48A0"/>
    <w:rsid w:val="00CC4906"/>
    <w:rsid w:val="00CC4994"/>
    <w:rsid w:val="00CC4A23"/>
    <w:rsid w:val="00CC4B6D"/>
    <w:rsid w:val="00CC4B74"/>
    <w:rsid w:val="00CC4C21"/>
    <w:rsid w:val="00CC4CC1"/>
    <w:rsid w:val="00CC4D2E"/>
    <w:rsid w:val="00CC4D5A"/>
    <w:rsid w:val="00CC4D5B"/>
    <w:rsid w:val="00CC4DA8"/>
    <w:rsid w:val="00CC4E7C"/>
    <w:rsid w:val="00CC4FB8"/>
    <w:rsid w:val="00CC4FFA"/>
    <w:rsid w:val="00CC50F1"/>
    <w:rsid w:val="00CC511A"/>
    <w:rsid w:val="00CC517B"/>
    <w:rsid w:val="00CC52D4"/>
    <w:rsid w:val="00CC52E8"/>
    <w:rsid w:val="00CC559D"/>
    <w:rsid w:val="00CC55CF"/>
    <w:rsid w:val="00CC5671"/>
    <w:rsid w:val="00CC5B73"/>
    <w:rsid w:val="00CC5EB2"/>
    <w:rsid w:val="00CC5ED2"/>
    <w:rsid w:val="00CC5EF6"/>
    <w:rsid w:val="00CC6006"/>
    <w:rsid w:val="00CC6013"/>
    <w:rsid w:val="00CC6030"/>
    <w:rsid w:val="00CC60E7"/>
    <w:rsid w:val="00CC6251"/>
    <w:rsid w:val="00CC62CA"/>
    <w:rsid w:val="00CC6361"/>
    <w:rsid w:val="00CC63F2"/>
    <w:rsid w:val="00CC64A8"/>
    <w:rsid w:val="00CC6565"/>
    <w:rsid w:val="00CC65C6"/>
    <w:rsid w:val="00CC6638"/>
    <w:rsid w:val="00CC6851"/>
    <w:rsid w:val="00CC6A16"/>
    <w:rsid w:val="00CC6A21"/>
    <w:rsid w:val="00CC6A5E"/>
    <w:rsid w:val="00CC6BCD"/>
    <w:rsid w:val="00CC6C46"/>
    <w:rsid w:val="00CC6CD0"/>
    <w:rsid w:val="00CC6D68"/>
    <w:rsid w:val="00CC6DCF"/>
    <w:rsid w:val="00CC7046"/>
    <w:rsid w:val="00CC70B0"/>
    <w:rsid w:val="00CC70FA"/>
    <w:rsid w:val="00CC70FD"/>
    <w:rsid w:val="00CC7226"/>
    <w:rsid w:val="00CC7342"/>
    <w:rsid w:val="00CC73E4"/>
    <w:rsid w:val="00CC75C5"/>
    <w:rsid w:val="00CC7915"/>
    <w:rsid w:val="00CC7943"/>
    <w:rsid w:val="00CC79CF"/>
    <w:rsid w:val="00CC79E7"/>
    <w:rsid w:val="00CC7C25"/>
    <w:rsid w:val="00CC7D39"/>
    <w:rsid w:val="00CC7EC2"/>
    <w:rsid w:val="00CC7F0F"/>
    <w:rsid w:val="00CC7FD2"/>
    <w:rsid w:val="00CC7FD4"/>
    <w:rsid w:val="00CD00A7"/>
    <w:rsid w:val="00CD0190"/>
    <w:rsid w:val="00CD0210"/>
    <w:rsid w:val="00CD0241"/>
    <w:rsid w:val="00CD02A4"/>
    <w:rsid w:val="00CD03E4"/>
    <w:rsid w:val="00CD0727"/>
    <w:rsid w:val="00CD08FD"/>
    <w:rsid w:val="00CD0902"/>
    <w:rsid w:val="00CD0957"/>
    <w:rsid w:val="00CD0A39"/>
    <w:rsid w:val="00CD0C13"/>
    <w:rsid w:val="00CD0D89"/>
    <w:rsid w:val="00CD1076"/>
    <w:rsid w:val="00CD124D"/>
    <w:rsid w:val="00CD13E1"/>
    <w:rsid w:val="00CD15FC"/>
    <w:rsid w:val="00CD16BF"/>
    <w:rsid w:val="00CD1891"/>
    <w:rsid w:val="00CD18CE"/>
    <w:rsid w:val="00CD18D8"/>
    <w:rsid w:val="00CD19A5"/>
    <w:rsid w:val="00CD1AFC"/>
    <w:rsid w:val="00CD1B77"/>
    <w:rsid w:val="00CD1BAF"/>
    <w:rsid w:val="00CD1C40"/>
    <w:rsid w:val="00CD1F56"/>
    <w:rsid w:val="00CD2156"/>
    <w:rsid w:val="00CD2192"/>
    <w:rsid w:val="00CD222F"/>
    <w:rsid w:val="00CD24B6"/>
    <w:rsid w:val="00CD250F"/>
    <w:rsid w:val="00CD251F"/>
    <w:rsid w:val="00CD27BA"/>
    <w:rsid w:val="00CD27F2"/>
    <w:rsid w:val="00CD2822"/>
    <w:rsid w:val="00CD2900"/>
    <w:rsid w:val="00CD29BD"/>
    <w:rsid w:val="00CD2A2F"/>
    <w:rsid w:val="00CD2AF5"/>
    <w:rsid w:val="00CD2B15"/>
    <w:rsid w:val="00CD2B45"/>
    <w:rsid w:val="00CD2D0E"/>
    <w:rsid w:val="00CD2E8B"/>
    <w:rsid w:val="00CD2EE5"/>
    <w:rsid w:val="00CD2FC6"/>
    <w:rsid w:val="00CD303A"/>
    <w:rsid w:val="00CD305F"/>
    <w:rsid w:val="00CD3179"/>
    <w:rsid w:val="00CD32BE"/>
    <w:rsid w:val="00CD3310"/>
    <w:rsid w:val="00CD349D"/>
    <w:rsid w:val="00CD3500"/>
    <w:rsid w:val="00CD3508"/>
    <w:rsid w:val="00CD35A8"/>
    <w:rsid w:val="00CD391F"/>
    <w:rsid w:val="00CD3AE5"/>
    <w:rsid w:val="00CD3B68"/>
    <w:rsid w:val="00CD3BC3"/>
    <w:rsid w:val="00CD3C09"/>
    <w:rsid w:val="00CD3C7A"/>
    <w:rsid w:val="00CD3D91"/>
    <w:rsid w:val="00CD3EBD"/>
    <w:rsid w:val="00CD4055"/>
    <w:rsid w:val="00CD4219"/>
    <w:rsid w:val="00CD4271"/>
    <w:rsid w:val="00CD431B"/>
    <w:rsid w:val="00CD4607"/>
    <w:rsid w:val="00CD485B"/>
    <w:rsid w:val="00CD4924"/>
    <w:rsid w:val="00CD499E"/>
    <w:rsid w:val="00CD4BC1"/>
    <w:rsid w:val="00CD4BF5"/>
    <w:rsid w:val="00CD4C4B"/>
    <w:rsid w:val="00CD4E34"/>
    <w:rsid w:val="00CD4ECC"/>
    <w:rsid w:val="00CD4F5F"/>
    <w:rsid w:val="00CD5081"/>
    <w:rsid w:val="00CD51F3"/>
    <w:rsid w:val="00CD52EC"/>
    <w:rsid w:val="00CD53C0"/>
    <w:rsid w:val="00CD544F"/>
    <w:rsid w:val="00CD5476"/>
    <w:rsid w:val="00CD5551"/>
    <w:rsid w:val="00CD55EF"/>
    <w:rsid w:val="00CD5651"/>
    <w:rsid w:val="00CD56CD"/>
    <w:rsid w:val="00CD56FA"/>
    <w:rsid w:val="00CD5702"/>
    <w:rsid w:val="00CD5723"/>
    <w:rsid w:val="00CD588B"/>
    <w:rsid w:val="00CD58FC"/>
    <w:rsid w:val="00CD591F"/>
    <w:rsid w:val="00CD5A56"/>
    <w:rsid w:val="00CD5A68"/>
    <w:rsid w:val="00CD5A7A"/>
    <w:rsid w:val="00CD5F80"/>
    <w:rsid w:val="00CD5FC5"/>
    <w:rsid w:val="00CD6335"/>
    <w:rsid w:val="00CD6418"/>
    <w:rsid w:val="00CD64DC"/>
    <w:rsid w:val="00CD654B"/>
    <w:rsid w:val="00CD6671"/>
    <w:rsid w:val="00CD6750"/>
    <w:rsid w:val="00CD6766"/>
    <w:rsid w:val="00CD6859"/>
    <w:rsid w:val="00CD685A"/>
    <w:rsid w:val="00CD6ACF"/>
    <w:rsid w:val="00CD6B8A"/>
    <w:rsid w:val="00CD6BA7"/>
    <w:rsid w:val="00CD6C01"/>
    <w:rsid w:val="00CD6C36"/>
    <w:rsid w:val="00CD6DDB"/>
    <w:rsid w:val="00CD6F85"/>
    <w:rsid w:val="00CD6FAF"/>
    <w:rsid w:val="00CD7194"/>
    <w:rsid w:val="00CD7235"/>
    <w:rsid w:val="00CD726B"/>
    <w:rsid w:val="00CD72F6"/>
    <w:rsid w:val="00CD7337"/>
    <w:rsid w:val="00CD754B"/>
    <w:rsid w:val="00CD7556"/>
    <w:rsid w:val="00CD757C"/>
    <w:rsid w:val="00CD7627"/>
    <w:rsid w:val="00CD78F5"/>
    <w:rsid w:val="00CD7A5B"/>
    <w:rsid w:val="00CD7A73"/>
    <w:rsid w:val="00CD7BBD"/>
    <w:rsid w:val="00CD7C39"/>
    <w:rsid w:val="00CD7E49"/>
    <w:rsid w:val="00CD7FAA"/>
    <w:rsid w:val="00CE00CB"/>
    <w:rsid w:val="00CE0193"/>
    <w:rsid w:val="00CE0200"/>
    <w:rsid w:val="00CE020E"/>
    <w:rsid w:val="00CE024F"/>
    <w:rsid w:val="00CE0256"/>
    <w:rsid w:val="00CE033A"/>
    <w:rsid w:val="00CE034C"/>
    <w:rsid w:val="00CE0605"/>
    <w:rsid w:val="00CE0869"/>
    <w:rsid w:val="00CE087D"/>
    <w:rsid w:val="00CE08A9"/>
    <w:rsid w:val="00CE08C9"/>
    <w:rsid w:val="00CE0A41"/>
    <w:rsid w:val="00CE0AB0"/>
    <w:rsid w:val="00CE0B8B"/>
    <w:rsid w:val="00CE0BBF"/>
    <w:rsid w:val="00CE0C16"/>
    <w:rsid w:val="00CE0C2F"/>
    <w:rsid w:val="00CE0C62"/>
    <w:rsid w:val="00CE0D03"/>
    <w:rsid w:val="00CE0D30"/>
    <w:rsid w:val="00CE0DE0"/>
    <w:rsid w:val="00CE0DF6"/>
    <w:rsid w:val="00CE0F44"/>
    <w:rsid w:val="00CE106B"/>
    <w:rsid w:val="00CE1122"/>
    <w:rsid w:val="00CE13C6"/>
    <w:rsid w:val="00CE1546"/>
    <w:rsid w:val="00CE15B4"/>
    <w:rsid w:val="00CE1703"/>
    <w:rsid w:val="00CE1831"/>
    <w:rsid w:val="00CE1879"/>
    <w:rsid w:val="00CE18CD"/>
    <w:rsid w:val="00CE1917"/>
    <w:rsid w:val="00CE1979"/>
    <w:rsid w:val="00CE1AD2"/>
    <w:rsid w:val="00CE1BEB"/>
    <w:rsid w:val="00CE1D6C"/>
    <w:rsid w:val="00CE1DE5"/>
    <w:rsid w:val="00CE20A2"/>
    <w:rsid w:val="00CE21DB"/>
    <w:rsid w:val="00CE223E"/>
    <w:rsid w:val="00CE2269"/>
    <w:rsid w:val="00CE23C1"/>
    <w:rsid w:val="00CE247D"/>
    <w:rsid w:val="00CE2529"/>
    <w:rsid w:val="00CE265A"/>
    <w:rsid w:val="00CE279B"/>
    <w:rsid w:val="00CE28C2"/>
    <w:rsid w:val="00CE291C"/>
    <w:rsid w:val="00CE299D"/>
    <w:rsid w:val="00CE29FE"/>
    <w:rsid w:val="00CE2A78"/>
    <w:rsid w:val="00CE2AF2"/>
    <w:rsid w:val="00CE2BD1"/>
    <w:rsid w:val="00CE2BD3"/>
    <w:rsid w:val="00CE2C85"/>
    <w:rsid w:val="00CE2DD1"/>
    <w:rsid w:val="00CE2ECE"/>
    <w:rsid w:val="00CE317E"/>
    <w:rsid w:val="00CE3192"/>
    <w:rsid w:val="00CE31D3"/>
    <w:rsid w:val="00CE34D9"/>
    <w:rsid w:val="00CE35FE"/>
    <w:rsid w:val="00CE3649"/>
    <w:rsid w:val="00CE36F3"/>
    <w:rsid w:val="00CE38A9"/>
    <w:rsid w:val="00CE3A06"/>
    <w:rsid w:val="00CE3CC3"/>
    <w:rsid w:val="00CE3D60"/>
    <w:rsid w:val="00CE3DC4"/>
    <w:rsid w:val="00CE3E2A"/>
    <w:rsid w:val="00CE402B"/>
    <w:rsid w:val="00CE437E"/>
    <w:rsid w:val="00CE4397"/>
    <w:rsid w:val="00CE43CB"/>
    <w:rsid w:val="00CE4439"/>
    <w:rsid w:val="00CE48FF"/>
    <w:rsid w:val="00CE491A"/>
    <w:rsid w:val="00CE4958"/>
    <w:rsid w:val="00CE4A0B"/>
    <w:rsid w:val="00CE4A31"/>
    <w:rsid w:val="00CE4C05"/>
    <w:rsid w:val="00CE4CA1"/>
    <w:rsid w:val="00CE4E89"/>
    <w:rsid w:val="00CE4EA6"/>
    <w:rsid w:val="00CE4F2F"/>
    <w:rsid w:val="00CE4F3D"/>
    <w:rsid w:val="00CE4F60"/>
    <w:rsid w:val="00CE5033"/>
    <w:rsid w:val="00CE51F4"/>
    <w:rsid w:val="00CE528B"/>
    <w:rsid w:val="00CE5300"/>
    <w:rsid w:val="00CE5340"/>
    <w:rsid w:val="00CE53BA"/>
    <w:rsid w:val="00CE542F"/>
    <w:rsid w:val="00CE547E"/>
    <w:rsid w:val="00CE54D1"/>
    <w:rsid w:val="00CE5500"/>
    <w:rsid w:val="00CE569F"/>
    <w:rsid w:val="00CE57F6"/>
    <w:rsid w:val="00CE587B"/>
    <w:rsid w:val="00CE588A"/>
    <w:rsid w:val="00CE5919"/>
    <w:rsid w:val="00CE59FC"/>
    <w:rsid w:val="00CE5A4A"/>
    <w:rsid w:val="00CE5B2C"/>
    <w:rsid w:val="00CE5B79"/>
    <w:rsid w:val="00CE5C90"/>
    <w:rsid w:val="00CE5DAF"/>
    <w:rsid w:val="00CE5F61"/>
    <w:rsid w:val="00CE6052"/>
    <w:rsid w:val="00CE6067"/>
    <w:rsid w:val="00CE65BF"/>
    <w:rsid w:val="00CE66D0"/>
    <w:rsid w:val="00CE67A6"/>
    <w:rsid w:val="00CE67AD"/>
    <w:rsid w:val="00CE67E0"/>
    <w:rsid w:val="00CE686D"/>
    <w:rsid w:val="00CE6A69"/>
    <w:rsid w:val="00CE6AA6"/>
    <w:rsid w:val="00CE6B16"/>
    <w:rsid w:val="00CE6E11"/>
    <w:rsid w:val="00CE703D"/>
    <w:rsid w:val="00CE7118"/>
    <w:rsid w:val="00CE73C1"/>
    <w:rsid w:val="00CE7438"/>
    <w:rsid w:val="00CE7492"/>
    <w:rsid w:val="00CE7648"/>
    <w:rsid w:val="00CE7663"/>
    <w:rsid w:val="00CE7666"/>
    <w:rsid w:val="00CE7B29"/>
    <w:rsid w:val="00CE7C8F"/>
    <w:rsid w:val="00CE7EAD"/>
    <w:rsid w:val="00CF0052"/>
    <w:rsid w:val="00CF009E"/>
    <w:rsid w:val="00CF00E0"/>
    <w:rsid w:val="00CF0188"/>
    <w:rsid w:val="00CF01CE"/>
    <w:rsid w:val="00CF0294"/>
    <w:rsid w:val="00CF0309"/>
    <w:rsid w:val="00CF031D"/>
    <w:rsid w:val="00CF03AF"/>
    <w:rsid w:val="00CF03C1"/>
    <w:rsid w:val="00CF04A3"/>
    <w:rsid w:val="00CF0532"/>
    <w:rsid w:val="00CF062B"/>
    <w:rsid w:val="00CF069B"/>
    <w:rsid w:val="00CF06D8"/>
    <w:rsid w:val="00CF0758"/>
    <w:rsid w:val="00CF0A1E"/>
    <w:rsid w:val="00CF0A69"/>
    <w:rsid w:val="00CF0CD1"/>
    <w:rsid w:val="00CF0D5C"/>
    <w:rsid w:val="00CF0DA4"/>
    <w:rsid w:val="00CF0F38"/>
    <w:rsid w:val="00CF0F74"/>
    <w:rsid w:val="00CF10AF"/>
    <w:rsid w:val="00CF122B"/>
    <w:rsid w:val="00CF1453"/>
    <w:rsid w:val="00CF14BF"/>
    <w:rsid w:val="00CF15DA"/>
    <w:rsid w:val="00CF1722"/>
    <w:rsid w:val="00CF17CC"/>
    <w:rsid w:val="00CF18DE"/>
    <w:rsid w:val="00CF194B"/>
    <w:rsid w:val="00CF1B22"/>
    <w:rsid w:val="00CF1B61"/>
    <w:rsid w:val="00CF1C55"/>
    <w:rsid w:val="00CF1C6E"/>
    <w:rsid w:val="00CF1C80"/>
    <w:rsid w:val="00CF1CF6"/>
    <w:rsid w:val="00CF1DFF"/>
    <w:rsid w:val="00CF1E6F"/>
    <w:rsid w:val="00CF1EED"/>
    <w:rsid w:val="00CF1EFD"/>
    <w:rsid w:val="00CF1F30"/>
    <w:rsid w:val="00CF1FEB"/>
    <w:rsid w:val="00CF205E"/>
    <w:rsid w:val="00CF22B5"/>
    <w:rsid w:val="00CF260D"/>
    <w:rsid w:val="00CF273A"/>
    <w:rsid w:val="00CF27FD"/>
    <w:rsid w:val="00CF297C"/>
    <w:rsid w:val="00CF29E5"/>
    <w:rsid w:val="00CF2A4A"/>
    <w:rsid w:val="00CF2B48"/>
    <w:rsid w:val="00CF2CFF"/>
    <w:rsid w:val="00CF2D3E"/>
    <w:rsid w:val="00CF2E83"/>
    <w:rsid w:val="00CF313A"/>
    <w:rsid w:val="00CF3464"/>
    <w:rsid w:val="00CF356B"/>
    <w:rsid w:val="00CF35C5"/>
    <w:rsid w:val="00CF3623"/>
    <w:rsid w:val="00CF36CD"/>
    <w:rsid w:val="00CF3749"/>
    <w:rsid w:val="00CF37C0"/>
    <w:rsid w:val="00CF3867"/>
    <w:rsid w:val="00CF38DA"/>
    <w:rsid w:val="00CF39EE"/>
    <w:rsid w:val="00CF3A02"/>
    <w:rsid w:val="00CF3AD1"/>
    <w:rsid w:val="00CF3AF5"/>
    <w:rsid w:val="00CF3C71"/>
    <w:rsid w:val="00CF3D61"/>
    <w:rsid w:val="00CF3F0D"/>
    <w:rsid w:val="00CF3F33"/>
    <w:rsid w:val="00CF3F44"/>
    <w:rsid w:val="00CF47AB"/>
    <w:rsid w:val="00CF4892"/>
    <w:rsid w:val="00CF4983"/>
    <w:rsid w:val="00CF4A5C"/>
    <w:rsid w:val="00CF4A97"/>
    <w:rsid w:val="00CF4C3C"/>
    <w:rsid w:val="00CF4D37"/>
    <w:rsid w:val="00CF4D97"/>
    <w:rsid w:val="00CF4DCF"/>
    <w:rsid w:val="00CF4EAD"/>
    <w:rsid w:val="00CF4EF3"/>
    <w:rsid w:val="00CF4F8E"/>
    <w:rsid w:val="00CF50E0"/>
    <w:rsid w:val="00CF5138"/>
    <w:rsid w:val="00CF53C3"/>
    <w:rsid w:val="00CF55F0"/>
    <w:rsid w:val="00CF579C"/>
    <w:rsid w:val="00CF5838"/>
    <w:rsid w:val="00CF5873"/>
    <w:rsid w:val="00CF5888"/>
    <w:rsid w:val="00CF58AE"/>
    <w:rsid w:val="00CF5907"/>
    <w:rsid w:val="00CF5A02"/>
    <w:rsid w:val="00CF5AB5"/>
    <w:rsid w:val="00CF5ADE"/>
    <w:rsid w:val="00CF5B06"/>
    <w:rsid w:val="00CF5BDD"/>
    <w:rsid w:val="00CF5E3C"/>
    <w:rsid w:val="00CF5EE2"/>
    <w:rsid w:val="00CF5FCB"/>
    <w:rsid w:val="00CF6108"/>
    <w:rsid w:val="00CF62B4"/>
    <w:rsid w:val="00CF640A"/>
    <w:rsid w:val="00CF65AF"/>
    <w:rsid w:val="00CF6685"/>
    <w:rsid w:val="00CF6800"/>
    <w:rsid w:val="00CF6A8E"/>
    <w:rsid w:val="00CF6C48"/>
    <w:rsid w:val="00CF6DEF"/>
    <w:rsid w:val="00CF6EB2"/>
    <w:rsid w:val="00CF6F4B"/>
    <w:rsid w:val="00CF70BC"/>
    <w:rsid w:val="00CF70DD"/>
    <w:rsid w:val="00CF7331"/>
    <w:rsid w:val="00CF7435"/>
    <w:rsid w:val="00CF755E"/>
    <w:rsid w:val="00CF76E7"/>
    <w:rsid w:val="00CF7716"/>
    <w:rsid w:val="00CF77BC"/>
    <w:rsid w:val="00CF7ADA"/>
    <w:rsid w:val="00CF7BD4"/>
    <w:rsid w:val="00CF7BD6"/>
    <w:rsid w:val="00CF7DAD"/>
    <w:rsid w:val="00CF7EE5"/>
    <w:rsid w:val="00CF7F56"/>
    <w:rsid w:val="00D00042"/>
    <w:rsid w:val="00D000BF"/>
    <w:rsid w:val="00D0010B"/>
    <w:rsid w:val="00D0030A"/>
    <w:rsid w:val="00D0034E"/>
    <w:rsid w:val="00D0040D"/>
    <w:rsid w:val="00D00464"/>
    <w:rsid w:val="00D00469"/>
    <w:rsid w:val="00D004FC"/>
    <w:rsid w:val="00D00612"/>
    <w:rsid w:val="00D007C1"/>
    <w:rsid w:val="00D007FB"/>
    <w:rsid w:val="00D008F2"/>
    <w:rsid w:val="00D009AB"/>
    <w:rsid w:val="00D009EC"/>
    <w:rsid w:val="00D00A24"/>
    <w:rsid w:val="00D00C72"/>
    <w:rsid w:val="00D00E62"/>
    <w:rsid w:val="00D00EF9"/>
    <w:rsid w:val="00D00FA5"/>
    <w:rsid w:val="00D0100E"/>
    <w:rsid w:val="00D010A5"/>
    <w:rsid w:val="00D01234"/>
    <w:rsid w:val="00D012B8"/>
    <w:rsid w:val="00D0147D"/>
    <w:rsid w:val="00D015EC"/>
    <w:rsid w:val="00D017C8"/>
    <w:rsid w:val="00D01843"/>
    <w:rsid w:val="00D019DC"/>
    <w:rsid w:val="00D01A30"/>
    <w:rsid w:val="00D01AD1"/>
    <w:rsid w:val="00D01B11"/>
    <w:rsid w:val="00D01BB0"/>
    <w:rsid w:val="00D01DA5"/>
    <w:rsid w:val="00D01DC3"/>
    <w:rsid w:val="00D01ECF"/>
    <w:rsid w:val="00D01F00"/>
    <w:rsid w:val="00D01FEC"/>
    <w:rsid w:val="00D02346"/>
    <w:rsid w:val="00D02355"/>
    <w:rsid w:val="00D0235F"/>
    <w:rsid w:val="00D023E5"/>
    <w:rsid w:val="00D02404"/>
    <w:rsid w:val="00D025DA"/>
    <w:rsid w:val="00D026F6"/>
    <w:rsid w:val="00D0299C"/>
    <w:rsid w:val="00D02A07"/>
    <w:rsid w:val="00D02B57"/>
    <w:rsid w:val="00D02C0B"/>
    <w:rsid w:val="00D02D38"/>
    <w:rsid w:val="00D02FA9"/>
    <w:rsid w:val="00D032B7"/>
    <w:rsid w:val="00D032CC"/>
    <w:rsid w:val="00D0363C"/>
    <w:rsid w:val="00D03814"/>
    <w:rsid w:val="00D038B8"/>
    <w:rsid w:val="00D038C5"/>
    <w:rsid w:val="00D03924"/>
    <w:rsid w:val="00D0394B"/>
    <w:rsid w:val="00D03A78"/>
    <w:rsid w:val="00D03AA3"/>
    <w:rsid w:val="00D03B36"/>
    <w:rsid w:val="00D03BE4"/>
    <w:rsid w:val="00D03C5B"/>
    <w:rsid w:val="00D03C72"/>
    <w:rsid w:val="00D03D7C"/>
    <w:rsid w:val="00D03DCF"/>
    <w:rsid w:val="00D03F0C"/>
    <w:rsid w:val="00D04107"/>
    <w:rsid w:val="00D041E5"/>
    <w:rsid w:val="00D04200"/>
    <w:rsid w:val="00D04313"/>
    <w:rsid w:val="00D043FA"/>
    <w:rsid w:val="00D0449B"/>
    <w:rsid w:val="00D0467E"/>
    <w:rsid w:val="00D04744"/>
    <w:rsid w:val="00D04778"/>
    <w:rsid w:val="00D04814"/>
    <w:rsid w:val="00D048D7"/>
    <w:rsid w:val="00D04998"/>
    <w:rsid w:val="00D049D3"/>
    <w:rsid w:val="00D04A17"/>
    <w:rsid w:val="00D04C9B"/>
    <w:rsid w:val="00D04DC4"/>
    <w:rsid w:val="00D04DD6"/>
    <w:rsid w:val="00D04E36"/>
    <w:rsid w:val="00D0509C"/>
    <w:rsid w:val="00D0517E"/>
    <w:rsid w:val="00D05190"/>
    <w:rsid w:val="00D05211"/>
    <w:rsid w:val="00D0526F"/>
    <w:rsid w:val="00D05324"/>
    <w:rsid w:val="00D053E5"/>
    <w:rsid w:val="00D05400"/>
    <w:rsid w:val="00D05494"/>
    <w:rsid w:val="00D05834"/>
    <w:rsid w:val="00D0593F"/>
    <w:rsid w:val="00D0599A"/>
    <w:rsid w:val="00D059C6"/>
    <w:rsid w:val="00D059F0"/>
    <w:rsid w:val="00D059F7"/>
    <w:rsid w:val="00D05A56"/>
    <w:rsid w:val="00D05B49"/>
    <w:rsid w:val="00D05D49"/>
    <w:rsid w:val="00D05E94"/>
    <w:rsid w:val="00D05F88"/>
    <w:rsid w:val="00D05F9B"/>
    <w:rsid w:val="00D05FEC"/>
    <w:rsid w:val="00D06011"/>
    <w:rsid w:val="00D06126"/>
    <w:rsid w:val="00D06200"/>
    <w:rsid w:val="00D06209"/>
    <w:rsid w:val="00D062F1"/>
    <w:rsid w:val="00D063F4"/>
    <w:rsid w:val="00D06413"/>
    <w:rsid w:val="00D0652C"/>
    <w:rsid w:val="00D0654F"/>
    <w:rsid w:val="00D06568"/>
    <w:rsid w:val="00D066B1"/>
    <w:rsid w:val="00D066CC"/>
    <w:rsid w:val="00D066E9"/>
    <w:rsid w:val="00D0671F"/>
    <w:rsid w:val="00D06834"/>
    <w:rsid w:val="00D0694D"/>
    <w:rsid w:val="00D06C1C"/>
    <w:rsid w:val="00D06C46"/>
    <w:rsid w:val="00D06CA4"/>
    <w:rsid w:val="00D06DA2"/>
    <w:rsid w:val="00D06E10"/>
    <w:rsid w:val="00D0707A"/>
    <w:rsid w:val="00D071AC"/>
    <w:rsid w:val="00D07500"/>
    <w:rsid w:val="00D077AF"/>
    <w:rsid w:val="00D07943"/>
    <w:rsid w:val="00D0799E"/>
    <w:rsid w:val="00D079EB"/>
    <w:rsid w:val="00D07D93"/>
    <w:rsid w:val="00D07E14"/>
    <w:rsid w:val="00D07E42"/>
    <w:rsid w:val="00D07E93"/>
    <w:rsid w:val="00D101F7"/>
    <w:rsid w:val="00D10289"/>
    <w:rsid w:val="00D10316"/>
    <w:rsid w:val="00D10479"/>
    <w:rsid w:val="00D104D4"/>
    <w:rsid w:val="00D10513"/>
    <w:rsid w:val="00D105AE"/>
    <w:rsid w:val="00D105C8"/>
    <w:rsid w:val="00D105E8"/>
    <w:rsid w:val="00D10609"/>
    <w:rsid w:val="00D1060E"/>
    <w:rsid w:val="00D10675"/>
    <w:rsid w:val="00D108E1"/>
    <w:rsid w:val="00D1095E"/>
    <w:rsid w:val="00D109AB"/>
    <w:rsid w:val="00D109E1"/>
    <w:rsid w:val="00D10A3D"/>
    <w:rsid w:val="00D10A4C"/>
    <w:rsid w:val="00D10B44"/>
    <w:rsid w:val="00D10DB9"/>
    <w:rsid w:val="00D10DEA"/>
    <w:rsid w:val="00D1100C"/>
    <w:rsid w:val="00D11139"/>
    <w:rsid w:val="00D11282"/>
    <w:rsid w:val="00D11466"/>
    <w:rsid w:val="00D11472"/>
    <w:rsid w:val="00D114D1"/>
    <w:rsid w:val="00D115A3"/>
    <w:rsid w:val="00D115EB"/>
    <w:rsid w:val="00D11608"/>
    <w:rsid w:val="00D11849"/>
    <w:rsid w:val="00D11BC5"/>
    <w:rsid w:val="00D11BDE"/>
    <w:rsid w:val="00D11C06"/>
    <w:rsid w:val="00D11D08"/>
    <w:rsid w:val="00D11E1D"/>
    <w:rsid w:val="00D11F86"/>
    <w:rsid w:val="00D120CC"/>
    <w:rsid w:val="00D12118"/>
    <w:rsid w:val="00D12119"/>
    <w:rsid w:val="00D121B3"/>
    <w:rsid w:val="00D12251"/>
    <w:rsid w:val="00D1225A"/>
    <w:rsid w:val="00D1237F"/>
    <w:rsid w:val="00D124DE"/>
    <w:rsid w:val="00D125B5"/>
    <w:rsid w:val="00D12720"/>
    <w:rsid w:val="00D127D8"/>
    <w:rsid w:val="00D12956"/>
    <w:rsid w:val="00D129F4"/>
    <w:rsid w:val="00D12B65"/>
    <w:rsid w:val="00D12C8B"/>
    <w:rsid w:val="00D12CAE"/>
    <w:rsid w:val="00D12E2A"/>
    <w:rsid w:val="00D12EFA"/>
    <w:rsid w:val="00D13059"/>
    <w:rsid w:val="00D1307B"/>
    <w:rsid w:val="00D1318B"/>
    <w:rsid w:val="00D131D0"/>
    <w:rsid w:val="00D134B7"/>
    <w:rsid w:val="00D1363B"/>
    <w:rsid w:val="00D136B8"/>
    <w:rsid w:val="00D1370D"/>
    <w:rsid w:val="00D137D0"/>
    <w:rsid w:val="00D13B71"/>
    <w:rsid w:val="00D13C8F"/>
    <w:rsid w:val="00D13D82"/>
    <w:rsid w:val="00D13DCB"/>
    <w:rsid w:val="00D13EF9"/>
    <w:rsid w:val="00D13F6A"/>
    <w:rsid w:val="00D14002"/>
    <w:rsid w:val="00D14029"/>
    <w:rsid w:val="00D1402A"/>
    <w:rsid w:val="00D14039"/>
    <w:rsid w:val="00D14068"/>
    <w:rsid w:val="00D140BB"/>
    <w:rsid w:val="00D1418F"/>
    <w:rsid w:val="00D14347"/>
    <w:rsid w:val="00D1439D"/>
    <w:rsid w:val="00D14431"/>
    <w:rsid w:val="00D145BB"/>
    <w:rsid w:val="00D145F5"/>
    <w:rsid w:val="00D1464F"/>
    <w:rsid w:val="00D14740"/>
    <w:rsid w:val="00D14940"/>
    <w:rsid w:val="00D14990"/>
    <w:rsid w:val="00D14B5B"/>
    <w:rsid w:val="00D14BBB"/>
    <w:rsid w:val="00D14CE7"/>
    <w:rsid w:val="00D14DFF"/>
    <w:rsid w:val="00D1501E"/>
    <w:rsid w:val="00D15022"/>
    <w:rsid w:val="00D150BC"/>
    <w:rsid w:val="00D1519B"/>
    <w:rsid w:val="00D151D6"/>
    <w:rsid w:val="00D153E8"/>
    <w:rsid w:val="00D153FA"/>
    <w:rsid w:val="00D15483"/>
    <w:rsid w:val="00D154FF"/>
    <w:rsid w:val="00D15520"/>
    <w:rsid w:val="00D15550"/>
    <w:rsid w:val="00D156B3"/>
    <w:rsid w:val="00D1574A"/>
    <w:rsid w:val="00D15755"/>
    <w:rsid w:val="00D15857"/>
    <w:rsid w:val="00D158DA"/>
    <w:rsid w:val="00D158E0"/>
    <w:rsid w:val="00D1593A"/>
    <w:rsid w:val="00D159AE"/>
    <w:rsid w:val="00D159B3"/>
    <w:rsid w:val="00D15A3A"/>
    <w:rsid w:val="00D15A43"/>
    <w:rsid w:val="00D15A55"/>
    <w:rsid w:val="00D15B7A"/>
    <w:rsid w:val="00D15B9D"/>
    <w:rsid w:val="00D15D3A"/>
    <w:rsid w:val="00D15D3C"/>
    <w:rsid w:val="00D15FB2"/>
    <w:rsid w:val="00D160C5"/>
    <w:rsid w:val="00D16120"/>
    <w:rsid w:val="00D1614F"/>
    <w:rsid w:val="00D1617C"/>
    <w:rsid w:val="00D1628E"/>
    <w:rsid w:val="00D16294"/>
    <w:rsid w:val="00D16395"/>
    <w:rsid w:val="00D16396"/>
    <w:rsid w:val="00D163C2"/>
    <w:rsid w:val="00D16414"/>
    <w:rsid w:val="00D16440"/>
    <w:rsid w:val="00D16468"/>
    <w:rsid w:val="00D1648B"/>
    <w:rsid w:val="00D16602"/>
    <w:rsid w:val="00D1661A"/>
    <w:rsid w:val="00D1661F"/>
    <w:rsid w:val="00D16646"/>
    <w:rsid w:val="00D166A7"/>
    <w:rsid w:val="00D16842"/>
    <w:rsid w:val="00D16856"/>
    <w:rsid w:val="00D16AF4"/>
    <w:rsid w:val="00D16B8C"/>
    <w:rsid w:val="00D16BC2"/>
    <w:rsid w:val="00D16BE4"/>
    <w:rsid w:val="00D16C37"/>
    <w:rsid w:val="00D16CEB"/>
    <w:rsid w:val="00D16CFB"/>
    <w:rsid w:val="00D16E27"/>
    <w:rsid w:val="00D16EC8"/>
    <w:rsid w:val="00D170A9"/>
    <w:rsid w:val="00D1715C"/>
    <w:rsid w:val="00D17448"/>
    <w:rsid w:val="00D1744A"/>
    <w:rsid w:val="00D174F9"/>
    <w:rsid w:val="00D17565"/>
    <w:rsid w:val="00D175F9"/>
    <w:rsid w:val="00D17645"/>
    <w:rsid w:val="00D176F6"/>
    <w:rsid w:val="00D17791"/>
    <w:rsid w:val="00D177AA"/>
    <w:rsid w:val="00D17859"/>
    <w:rsid w:val="00D178E8"/>
    <w:rsid w:val="00D17971"/>
    <w:rsid w:val="00D17978"/>
    <w:rsid w:val="00D179BD"/>
    <w:rsid w:val="00D17B1D"/>
    <w:rsid w:val="00D17C2A"/>
    <w:rsid w:val="00D17CFE"/>
    <w:rsid w:val="00D17D35"/>
    <w:rsid w:val="00D17DD2"/>
    <w:rsid w:val="00D17EB1"/>
    <w:rsid w:val="00D17EF8"/>
    <w:rsid w:val="00D17F5E"/>
    <w:rsid w:val="00D17F8A"/>
    <w:rsid w:val="00D17FA8"/>
    <w:rsid w:val="00D20108"/>
    <w:rsid w:val="00D20207"/>
    <w:rsid w:val="00D20380"/>
    <w:rsid w:val="00D203DC"/>
    <w:rsid w:val="00D205EE"/>
    <w:rsid w:val="00D205F0"/>
    <w:rsid w:val="00D20729"/>
    <w:rsid w:val="00D208AD"/>
    <w:rsid w:val="00D20942"/>
    <w:rsid w:val="00D20A67"/>
    <w:rsid w:val="00D20AE6"/>
    <w:rsid w:val="00D20B12"/>
    <w:rsid w:val="00D20B51"/>
    <w:rsid w:val="00D20BF5"/>
    <w:rsid w:val="00D20E1F"/>
    <w:rsid w:val="00D20EA6"/>
    <w:rsid w:val="00D20EE5"/>
    <w:rsid w:val="00D20FAB"/>
    <w:rsid w:val="00D2101F"/>
    <w:rsid w:val="00D2103A"/>
    <w:rsid w:val="00D210AF"/>
    <w:rsid w:val="00D212B6"/>
    <w:rsid w:val="00D2136F"/>
    <w:rsid w:val="00D21480"/>
    <w:rsid w:val="00D21511"/>
    <w:rsid w:val="00D21542"/>
    <w:rsid w:val="00D21665"/>
    <w:rsid w:val="00D216A1"/>
    <w:rsid w:val="00D21818"/>
    <w:rsid w:val="00D218B1"/>
    <w:rsid w:val="00D218F6"/>
    <w:rsid w:val="00D21913"/>
    <w:rsid w:val="00D21B0D"/>
    <w:rsid w:val="00D21B14"/>
    <w:rsid w:val="00D21B55"/>
    <w:rsid w:val="00D21BCA"/>
    <w:rsid w:val="00D21C01"/>
    <w:rsid w:val="00D21C6C"/>
    <w:rsid w:val="00D21C96"/>
    <w:rsid w:val="00D21D85"/>
    <w:rsid w:val="00D21DDA"/>
    <w:rsid w:val="00D22204"/>
    <w:rsid w:val="00D22210"/>
    <w:rsid w:val="00D223ED"/>
    <w:rsid w:val="00D2245A"/>
    <w:rsid w:val="00D22695"/>
    <w:rsid w:val="00D22770"/>
    <w:rsid w:val="00D2277F"/>
    <w:rsid w:val="00D22844"/>
    <w:rsid w:val="00D228A0"/>
    <w:rsid w:val="00D228CD"/>
    <w:rsid w:val="00D229B9"/>
    <w:rsid w:val="00D22C59"/>
    <w:rsid w:val="00D22DF9"/>
    <w:rsid w:val="00D22E0A"/>
    <w:rsid w:val="00D22E2E"/>
    <w:rsid w:val="00D2308B"/>
    <w:rsid w:val="00D231BE"/>
    <w:rsid w:val="00D234E3"/>
    <w:rsid w:val="00D2359D"/>
    <w:rsid w:val="00D2362C"/>
    <w:rsid w:val="00D2371A"/>
    <w:rsid w:val="00D23720"/>
    <w:rsid w:val="00D23AAC"/>
    <w:rsid w:val="00D23C65"/>
    <w:rsid w:val="00D23DE4"/>
    <w:rsid w:val="00D23EC9"/>
    <w:rsid w:val="00D23F76"/>
    <w:rsid w:val="00D23FF4"/>
    <w:rsid w:val="00D24005"/>
    <w:rsid w:val="00D24091"/>
    <w:rsid w:val="00D2409C"/>
    <w:rsid w:val="00D240DD"/>
    <w:rsid w:val="00D2419A"/>
    <w:rsid w:val="00D24262"/>
    <w:rsid w:val="00D242C2"/>
    <w:rsid w:val="00D242D0"/>
    <w:rsid w:val="00D2442C"/>
    <w:rsid w:val="00D244DB"/>
    <w:rsid w:val="00D24565"/>
    <w:rsid w:val="00D247C8"/>
    <w:rsid w:val="00D248E0"/>
    <w:rsid w:val="00D24DC1"/>
    <w:rsid w:val="00D24E39"/>
    <w:rsid w:val="00D24E76"/>
    <w:rsid w:val="00D251E3"/>
    <w:rsid w:val="00D252F0"/>
    <w:rsid w:val="00D253EA"/>
    <w:rsid w:val="00D2540B"/>
    <w:rsid w:val="00D2547B"/>
    <w:rsid w:val="00D25632"/>
    <w:rsid w:val="00D2573D"/>
    <w:rsid w:val="00D257B6"/>
    <w:rsid w:val="00D258A3"/>
    <w:rsid w:val="00D258CF"/>
    <w:rsid w:val="00D258F6"/>
    <w:rsid w:val="00D2594B"/>
    <w:rsid w:val="00D259D6"/>
    <w:rsid w:val="00D25BBA"/>
    <w:rsid w:val="00D25C77"/>
    <w:rsid w:val="00D25D9F"/>
    <w:rsid w:val="00D25DF2"/>
    <w:rsid w:val="00D25F00"/>
    <w:rsid w:val="00D25F35"/>
    <w:rsid w:val="00D260CA"/>
    <w:rsid w:val="00D261F0"/>
    <w:rsid w:val="00D262CF"/>
    <w:rsid w:val="00D26496"/>
    <w:rsid w:val="00D26587"/>
    <w:rsid w:val="00D26843"/>
    <w:rsid w:val="00D2691F"/>
    <w:rsid w:val="00D269E8"/>
    <w:rsid w:val="00D26A68"/>
    <w:rsid w:val="00D26C7F"/>
    <w:rsid w:val="00D26CAE"/>
    <w:rsid w:val="00D26CB6"/>
    <w:rsid w:val="00D26D6B"/>
    <w:rsid w:val="00D26D9D"/>
    <w:rsid w:val="00D26DB9"/>
    <w:rsid w:val="00D270DD"/>
    <w:rsid w:val="00D2712B"/>
    <w:rsid w:val="00D27189"/>
    <w:rsid w:val="00D272BD"/>
    <w:rsid w:val="00D272DF"/>
    <w:rsid w:val="00D2738A"/>
    <w:rsid w:val="00D273E6"/>
    <w:rsid w:val="00D2747B"/>
    <w:rsid w:val="00D274A2"/>
    <w:rsid w:val="00D27539"/>
    <w:rsid w:val="00D27616"/>
    <w:rsid w:val="00D27635"/>
    <w:rsid w:val="00D27693"/>
    <w:rsid w:val="00D27B0E"/>
    <w:rsid w:val="00D27BEB"/>
    <w:rsid w:val="00D27FD7"/>
    <w:rsid w:val="00D30209"/>
    <w:rsid w:val="00D302AE"/>
    <w:rsid w:val="00D3032F"/>
    <w:rsid w:val="00D30579"/>
    <w:rsid w:val="00D3058C"/>
    <w:rsid w:val="00D306E8"/>
    <w:rsid w:val="00D3072A"/>
    <w:rsid w:val="00D30929"/>
    <w:rsid w:val="00D309FA"/>
    <w:rsid w:val="00D30B07"/>
    <w:rsid w:val="00D30B7A"/>
    <w:rsid w:val="00D30BD2"/>
    <w:rsid w:val="00D30F15"/>
    <w:rsid w:val="00D30F2B"/>
    <w:rsid w:val="00D3106A"/>
    <w:rsid w:val="00D31540"/>
    <w:rsid w:val="00D3163B"/>
    <w:rsid w:val="00D316A1"/>
    <w:rsid w:val="00D31728"/>
    <w:rsid w:val="00D3174E"/>
    <w:rsid w:val="00D31814"/>
    <w:rsid w:val="00D31A12"/>
    <w:rsid w:val="00D31AC9"/>
    <w:rsid w:val="00D31B77"/>
    <w:rsid w:val="00D31B7D"/>
    <w:rsid w:val="00D31B90"/>
    <w:rsid w:val="00D31C18"/>
    <w:rsid w:val="00D31EB4"/>
    <w:rsid w:val="00D31EF3"/>
    <w:rsid w:val="00D321EB"/>
    <w:rsid w:val="00D32337"/>
    <w:rsid w:val="00D32496"/>
    <w:rsid w:val="00D3251D"/>
    <w:rsid w:val="00D3266A"/>
    <w:rsid w:val="00D32771"/>
    <w:rsid w:val="00D327E5"/>
    <w:rsid w:val="00D32825"/>
    <w:rsid w:val="00D329F1"/>
    <w:rsid w:val="00D32A41"/>
    <w:rsid w:val="00D32CE8"/>
    <w:rsid w:val="00D32D96"/>
    <w:rsid w:val="00D32F4D"/>
    <w:rsid w:val="00D32FCF"/>
    <w:rsid w:val="00D3306B"/>
    <w:rsid w:val="00D330F4"/>
    <w:rsid w:val="00D333D0"/>
    <w:rsid w:val="00D3346F"/>
    <w:rsid w:val="00D334DC"/>
    <w:rsid w:val="00D335FB"/>
    <w:rsid w:val="00D3362F"/>
    <w:rsid w:val="00D3368F"/>
    <w:rsid w:val="00D336EB"/>
    <w:rsid w:val="00D33963"/>
    <w:rsid w:val="00D339C1"/>
    <w:rsid w:val="00D33B0E"/>
    <w:rsid w:val="00D33B6D"/>
    <w:rsid w:val="00D33BFD"/>
    <w:rsid w:val="00D33C9A"/>
    <w:rsid w:val="00D33DCC"/>
    <w:rsid w:val="00D33E5D"/>
    <w:rsid w:val="00D33EDF"/>
    <w:rsid w:val="00D34077"/>
    <w:rsid w:val="00D3420C"/>
    <w:rsid w:val="00D343E7"/>
    <w:rsid w:val="00D34429"/>
    <w:rsid w:val="00D3445F"/>
    <w:rsid w:val="00D34565"/>
    <w:rsid w:val="00D34A4D"/>
    <w:rsid w:val="00D34B7D"/>
    <w:rsid w:val="00D34BB6"/>
    <w:rsid w:val="00D34BC4"/>
    <w:rsid w:val="00D34E23"/>
    <w:rsid w:val="00D34F11"/>
    <w:rsid w:val="00D34F3A"/>
    <w:rsid w:val="00D34FC2"/>
    <w:rsid w:val="00D3508F"/>
    <w:rsid w:val="00D350D9"/>
    <w:rsid w:val="00D35265"/>
    <w:rsid w:val="00D355F0"/>
    <w:rsid w:val="00D356F8"/>
    <w:rsid w:val="00D35889"/>
    <w:rsid w:val="00D3592E"/>
    <w:rsid w:val="00D3598C"/>
    <w:rsid w:val="00D359F6"/>
    <w:rsid w:val="00D35B0B"/>
    <w:rsid w:val="00D35B95"/>
    <w:rsid w:val="00D35B99"/>
    <w:rsid w:val="00D35D0B"/>
    <w:rsid w:val="00D35DEC"/>
    <w:rsid w:val="00D35F93"/>
    <w:rsid w:val="00D35F94"/>
    <w:rsid w:val="00D361AD"/>
    <w:rsid w:val="00D363EC"/>
    <w:rsid w:val="00D36415"/>
    <w:rsid w:val="00D3649A"/>
    <w:rsid w:val="00D364C9"/>
    <w:rsid w:val="00D364E0"/>
    <w:rsid w:val="00D3674F"/>
    <w:rsid w:val="00D368BA"/>
    <w:rsid w:val="00D3690A"/>
    <w:rsid w:val="00D36922"/>
    <w:rsid w:val="00D36951"/>
    <w:rsid w:val="00D36A9F"/>
    <w:rsid w:val="00D36AE4"/>
    <w:rsid w:val="00D36AF0"/>
    <w:rsid w:val="00D36B55"/>
    <w:rsid w:val="00D36D19"/>
    <w:rsid w:val="00D36ED4"/>
    <w:rsid w:val="00D36FF8"/>
    <w:rsid w:val="00D37094"/>
    <w:rsid w:val="00D37121"/>
    <w:rsid w:val="00D37189"/>
    <w:rsid w:val="00D37236"/>
    <w:rsid w:val="00D37284"/>
    <w:rsid w:val="00D3735E"/>
    <w:rsid w:val="00D374AB"/>
    <w:rsid w:val="00D374FF"/>
    <w:rsid w:val="00D375A7"/>
    <w:rsid w:val="00D37644"/>
    <w:rsid w:val="00D376A4"/>
    <w:rsid w:val="00D3777F"/>
    <w:rsid w:val="00D37806"/>
    <w:rsid w:val="00D37B0C"/>
    <w:rsid w:val="00D37B48"/>
    <w:rsid w:val="00D37ECB"/>
    <w:rsid w:val="00D37F84"/>
    <w:rsid w:val="00D400C0"/>
    <w:rsid w:val="00D40148"/>
    <w:rsid w:val="00D40181"/>
    <w:rsid w:val="00D4019F"/>
    <w:rsid w:val="00D401A6"/>
    <w:rsid w:val="00D40248"/>
    <w:rsid w:val="00D403CB"/>
    <w:rsid w:val="00D40555"/>
    <w:rsid w:val="00D40574"/>
    <w:rsid w:val="00D406EA"/>
    <w:rsid w:val="00D40731"/>
    <w:rsid w:val="00D4077E"/>
    <w:rsid w:val="00D40849"/>
    <w:rsid w:val="00D40868"/>
    <w:rsid w:val="00D40876"/>
    <w:rsid w:val="00D409A9"/>
    <w:rsid w:val="00D409FE"/>
    <w:rsid w:val="00D40A65"/>
    <w:rsid w:val="00D40B80"/>
    <w:rsid w:val="00D40C51"/>
    <w:rsid w:val="00D40D43"/>
    <w:rsid w:val="00D40E32"/>
    <w:rsid w:val="00D40F90"/>
    <w:rsid w:val="00D4103A"/>
    <w:rsid w:val="00D41154"/>
    <w:rsid w:val="00D411B8"/>
    <w:rsid w:val="00D4158F"/>
    <w:rsid w:val="00D41984"/>
    <w:rsid w:val="00D41A1D"/>
    <w:rsid w:val="00D41A3E"/>
    <w:rsid w:val="00D41A4F"/>
    <w:rsid w:val="00D41B9B"/>
    <w:rsid w:val="00D41D70"/>
    <w:rsid w:val="00D41D95"/>
    <w:rsid w:val="00D41F0D"/>
    <w:rsid w:val="00D41F11"/>
    <w:rsid w:val="00D41F8C"/>
    <w:rsid w:val="00D422C8"/>
    <w:rsid w:val="00D422F4"/>
    <w:rsid w:val="00D425A0"/>
    <w:rsid w:val="00D426AF"/>
    <w:rsid w:val="00D42A9F"/>
    <w:rsid w:val="00D42BA6"/>
    <w:rsid w:val="00D42D3D"/>
    <w:rsid w:val="00D42FA2"/>
    <w:rsid w:val="00D43103"/>
    <w:rsid w:val="00D432E1"/>
    <w:rsid w:val="00D433FD"/>
    <w:rsid w:val="00D4351C"/>
    <w:rsid w:val="00D43693"/>
    <w:rsid w:val="00D43749"/>
    <w:rsid w:val="00D43864"/>
    <w:rsid w:val="00D438BF"/>
    <w:rsid w:val="00D43A29"/>
    <w:rsid w:val="00D43A78"/>
    <w:rsid w:val="00D43AC8"/>
    <w:rsid w:val="00D43D1B"/>
    <w:rsid w:val="00D44050"/>
    <w:rsid w:val="00D44151"/>
    <w:rsid w:val="00D441DE"/>
    <w:rsid w:val="00D4421D"/>
    <w:rsid w:val="00D442FA"/>
    <w:rsid w:val="00D44329"/>
    <w:rsid w:val="00D4441B"/>
    <w:rsid w:val="00D4467B"/>
    <w:rsid w:val="00D446A0"/>
    <w:rsid w:val="00D44782"/>
    <w:rsid w:val="00D448A2"/>
    <w:rsid w:val="00D449EE"/>
    <w:rsid w:val="00D44A04"/>
    <w:rsid w:val="00D44A4C"/>
    <w:rsid w:val="00D44BA6"/>
    <w:rsid w:val="00D44BB5"/>
    <w:rsid w:val="00D44BC8"/>
    <w:rsid w:val="00D44E09"/>
    <w:rsid w:val="00D44E13"/>
    <w:rsid w:val="00D44EE2"/>
    <w:rsid w:val="00D44EFD"/>
    <w:rsid w:val="00D44F57"/>
    <w:rsid w:val="00D44F8C"/>
    <w:rsid w:val="00D45478"/>
    <w:rsid w:val="00D45579"/>
    <w:rsid w:val="00D4564B"/>
    <w:rsid w:val="00D45685"/>
    <w:rsid w:val="00D4578D"/>
    <w:rsid w:val="00D4585E"/>
    <w:rsid w:val="00D458ED"/>
    <w:rsid w:val="00D4594B"/>
    <w:rsid w:val="00D459CA"/>
    <w:rsid w:val="00D459CC"/>
    <w:rsid w:val="00D459FB"/>
    <w:rsid w:val="00D45A2E"/>
    <w:rsid w:val="00D45ACB"/>
    <w:rsid w:val="00D45CAA"/>
    <w:rsid w:val="00D45D7E"/>
    <w:rsid w:val="00D45DAA"/>
    <w:rsid w:val="00D45DD1"/>
    <w:rsid w:val="00D45DDB"/>
    <w:rsid w:val="00D45E66"/>
    <w:rsid w:val="00D45E7A"/>
    <w:rsid w:val="00D4606A"/>
    <w:rsid w:val="00D4607C"/>
    <w:rsid w:val="00D46396"/>
    <w:rsid w:val="00D465EE"/>
    <w:rsid w:val="00D4671F"/>
    <w:rsid w:val="00D4672F"/>
    <w:rsid w:val="00D4677F"/>
    <w:rsid w:val="00D46A3B"/>
    <w:rsid w:val="00D46A4C"/>
    <w:rsid w:val="00D46B58"/>
    <w:rsid w:val="00D46BC3"/>
    <w:rsid w:val="00D46EF2"/>
    <w:rsid w:val="00D46F75"/>
    <w:rsid w:val="00D46F77"/>
    <w:rsid w:val="00D472F5"/>
    <w:rsid w:val="00D4733F"/>
    <w:rsid w:val="00D47357"/>
    <w:rsid w:val="00D473F4"/>
    <w:rsid w:val="00D47412"/>
    <w:rsid w:val="00D475BA"/>
    <w:rsid w:val="00D476BB"/>
    <w:rsid w:val="00D47706"/>
    <w:rsid w:val="00D47B1E"/>
    <w:rsid w:val="00D47B95"/>
    <w:rsid w:val="00D47CCC"/>
    <w:rsid w:val="00D47CDF"/>
    <w:rsid w:val="00D47DF7"/>
    <w:rsid w:val="00D47EFB"/>
    <w:rsid w:val="00D500AE"/>
    <w:rsid w:val="00D50147"/>
    <w:rsid w:val="00D50191"/>
    <w:rsid w:val="00D501AD"/>
    <w:rsid w:val="00D50289"/>
    <w:rsid w:val="00D5033F"/>
    <w:rsid w:val="00D503EF"/>
    <w:rsid w:val="00D5056E"/>
    <w:rsid w:val="00D505CE"/>
    <w:rsid w:val="00D5066A"/>
    <w:rsid w:val="00D50688"/>
    <w:rsid w:val="00D506A3"/>
    <w:rsid w:val="00D506ED"/>
    <w:rsid w:val="00D506F8"/>
    <w:rsid w:val="00D50718"/>
    <w:rsid w:val="00D5078D"/>
    <w:rsid w:val="00D507DA"/>
    <w:rsid w:val="00D507FE"/>
    <w:rsid w:val="00D50879"/>
    <w:rsid w:val="00D5089B"/>
    <w:rsid w:val="00D50A62"/>
    <w:rsid w:val="00D50A6D"/>
    <w:rsid w:val="00D50AB4"/>
    <w:rsid w:val="00D50AFA"/>
    <w:rsid w:val="00D50B5C"/>
    <w:rsid w:val="00D50B62"/>
    <w:rsid w:val="00D50D03"/>
    <w:rsid w:val="00D50F5B"/>
    <w:rsid w:val="00D50F81"/>
    <w:rsid w:val="00D51069"/>
    <w:rsid w:val="00D51089"/>
    <w:rsid w:val="00D5117F"/>
    <w:rsid w:val="00D51471"/>
    <w:rsid w:val="00D51572"/>
    <w:rsid w:val="00D51610"/>
    <w:rsid w:val="00D516C4"/>
    <w:rsid w:val="00D5177A"/>
    <w:rsid w:val="00D51928"/>
    <w:rsid w:val="00D51BBD"/>
    <w:rsid w:val="00D51C17"/>
    <w:rsid w:val="00D51C1D"/>
    <w:rsid w:val="00D51C3C"/>
    <w:rsid w:val="00D521AF"/>
    <w:rsid w:val="00D52242"/>
    <w:rsid w:val="00D52266"/>
    <w:rsid w:val="00D5256F"/>
    <w:rsid w:val="00D52718"/>
    <w:rsid w:val="00D52904"/>
    <w:rsid w:val="00D5291C"/>
    <w:rsid w:val="00D52AAB"/>
    <w:rsid w:val="00D52B2B"/>
    <w:rsid w:val="00D52B8E"/>
    <w:rsid w:val="00D52BC7"/>
    <w:rsid w:val="00D52BD4"/>
    <w:rsid w:val="00D52D10"/>
    <w:rsid w:val="00D52D16"/>
    <w:rsid w:val="00D52D1A"/>
    <w:rsid w:val="00D52D25"/>
    <w:rsid w:val="00D52DD3"/>
    <w:rsid w:val="00D52DD6"/>
    <w:rsid w:val="00D52EB3"/>
    <w:rsid w:val="00D52F4F"/>
    <w:rsid w:val="00D52F95"/>
    <w:rsid w:val="00D530B6"/>
    <w:rsid w:val="00D53199"/>
    <w:rsid w:val="00D531F3"/>
    <w:rsid w:val="00D5332B"/>
    <w:rsid w:val="00D53369"/>
    <w:rsid w:val="00D533DC"/>
    <w:rsid w:val="00D534BE"/>
    <w:rsid w:val="00D53874"/>
    <w:rsid w:val="00D53937"/>
    <w:rsid w:val="00D539CB"/>
    <w:rsid w:val="00D53D4F"/>
    <w:rsid w:val="00D53E33"/>
    <w:rsid w:val="00D53EC4"/>
    <w:rsid w:val="00D53F09"/>
    <w:rsid w:val="00D540AF"/>
    <w:rsid w:val="00D5411C"/>
    <w:rsid w:val="00D5414A"/>
    <w:rsid w:val="00D542E2"/>
    <w:rsid w:val="00D543B6"/>
    <w:rsid w:val="00D5440D"/>
    <w:rsid w:val="00D54465"/>
    <w:rsid w:val="00D5449C"/>
    <w:rsid w:val="00D54639"/>
    <w:rsid w:val="00D546A3"/>
    <w:rsid w:val="00D546D0"/>
    <w:rsid w:val="00D54784"/>
    <w:rsid w:val="00D547EA"/>
    <w:rsid w:val="00D5480D"/>
    <w:rsid w:val="00D5495C"/>
    <w:rsid w:val="00D54AA1"/>
    <w:rsid w:val="00D54B8C"/>
    <w:rsid w:val="00D55147"/>
    <w:rsid w:val="00D5514E"/>
    <w:rsid w:val="00D55378"/>
    <w:rsid w:val="00D553F0"/>
    <w:rsid w:val="00D55443"/>
    <w:rsid w:val="00D55534"/>
    <w:rsid w:val="00D55644"/>
    <w:rsid w:val="00D556AC"/>
    <w:rsid w:val="00D557A5"/>
    <w:rsid w:val="00D55AB3"/>
    <w:rsid w:val="00D55B91"/>
    <w:rsid w:val="00D55C56"/>
    <w:rsid w:val="00D55C6B"/>
    <w:rsid w:val="00D55E45"/>
    <w:rsid w:val="00D55E74"/>
    <w:rsid w:val="00D55F2C"/>
    <w:rsid w:val="00D55F2E"/>
    <w:rsid w:val="00D55FC0"/>
    <w:rsid w:val="00D5605D"/>
    <w:rsid w:val="00D5605F"/>
    <w:rsid w:val="00D560E4"/>
    <w:rsid w:val="00D56113"/>
    <w:rsid w:val="00D56192"/>
    <w:rsid w:val="00D56277"/>
    <w:rsid w:val="00D563C0"/>
    <w:rsid w:val="00D56489"/>
    <w:rsid w:val="00D5655F"/>
    <w:rsid w:val="00D565EB"/>
    <w:rsid w:val="00D56610"/>
    <w:rsid w:val="00D5684D"/>
    <w:rsid w:val="00D56A98"/>
    <w:rsid w:val="00D56BD9"/>
    <w:rsid w:val="00D56C00"/>
    <w:rsid w:val="00D56C98"/>
    <w:rsid w:val="00D56F0E"/>
    <w:rsid w:val="00D57301"/>
    <w:rsid w:val="00D57362"/>
    <w:rsid w:val="00D5756E"/>
    <w:rsid w:val="00D57631"/>
    <w:rsid w:val="00D577B2"/>
    <w:rsid w:val="00D577C3"/>
    <w:rsid w:val="00D57911"/>
    <w:rsid w:val="00D57D61"/>
    <w:rsid w:val="00D57E33"/>
    <w:rsid w:val="00D57F15"/>
    <w:rsid w:val="00D57F9D"/>
    <w:rsid w:val="00D57FF5"/>
    <w:rsid w:val="00D6006A"/>
    <w:rsid w:val="00D600DE"/>
    <w:rsid w:val="00D600E1"/>
    <w:rsid w:val="00D6037A"/>
    <w:rsid w:val="00D60387"/>
    <w:rsid w:val="00D603F4"/>
    <w:rsid w:val="00D60409"/>
    <w:rsid w:val="00D60454"/>
    <w:rsid w:val="00D604F4"/>
    <w:rsid w:val="00D60688"/>
    <w:rsid w:val="00D60836"/>
    <w:rsid w:val="00D60897"/>
    <w:rsid w:val="00D60B73"/>
    <w:rsid w:val="00D60C36"/>
    <w:rsid w:val="00D60C6E"/>
    <w:rsid w:val="00D60CD6"/>
    <w:rsid w:val="00D60D76"/>
    <w:rsid w:val="00D60DFE"/>
    <w:rsid w:val="00D6106B"/>
    <w:rsid w:val="00D61213"/>
    <w:rsid w:val="00D6124E"/>
    <w:rsid w:val="00D61636"/>
    <w:rsid w:val="00D6170E"/>
    <w:rsid w:val="00D61818"/>
    <w:rsid w:val="00D618DF"/>
    <w:rsid w:val="00D6192A"/>
    <w:rsid w:val="00D619CF"/>
    <w:rsid w:val="00D61F4E"/>
    <w:rsid w:val="00D6201F"/>
    <w:rsid w:val="00D62085"/>
    <w:rsid w:val="00D620C2"/>
    <w:rsid w:val="00D6215B"/>
    <w:rsid w:val="00D621FD"/>
    <w:rsid w:val="00D62449"/>
    <w:rsid w:val="00D6254A"/>
    <w:rsid w:val="00D62580"/>
    <w:rsid w:val="00D6266E"/>
    <w:rsid w:val="00D6279A"/>
    <w:rsid w:val="00D627AF"/>
    <w:rsid w:val="00D62871"/>
    <w:rsid w:val="00D62991"/>
    <w:rsid w:val="00D629DD"/>
    <w:rsid w:val="00D62A37"/>
    <w:rsid w:val="00D62A51"/>
    <w:rsid w:val="00D62A6C"/>
    <w:rsid w:val="00D62A9F"/>
    <w:rsid w:val="00D62B72"/>
    <w:rsid w:val="00D62BA4"/>
    <w:rsid w:val="00D62D79"/>
    <w:rsid w:val="00D62D98"/>
    <w:rsid w:val="00D62E70"/>
    <w:rsid w:val="00D62EF9"/>
    <w:rsid w:val="00D63009"/>
    <w:rsid w:val="00D63277"/>
    <w:rsid w:val="00D63544"/>
    <w:rsid w:val="00D63665"/>
    <w:rsid w:val="00D636E6"/>
    <w:rsid w:val="00D63815"/>
    <w:rsid w:val="00D63894"/>
    <w:rsid w:val="00D63977"/>
    <w:rsid w:val="00D63984"/>
    <w:rsid w:val="00D639BE"/>
    <w:rsid w:val="00D63BFA"/>
    <w:rsid w:val="00D63C08"/>
    <w:rsid w:val="00D63CC9"/>
    <w:rsid w:val="00D63E50"/>
    <w:rsid w:val="00D63ECF"/>
    <w:rsid w:val="00D64068"/>
    <w:rsid w:val="00D6411F"/>
    <w:rsid w:val="00D64160"/>
    <w:rsid w:val="00D64176"/>
    <w:rsid w:val="00D643D4"/>
    <w:rsid w:val="00D643F4"/>
    <w:rsid w:val="00D644FF"/>
    <w:rsid w:val="00D6450E"/>
    <w:rsid w:val="00D64542"/>
    <w:rsid w:val="00D64697"/>
    <w:rsid w:val="00D64712"/>
    <w:rsid w:val="00D6471D"/>
    <w:rsid w:val="00D64795"/>
    <w:rsid w:val="00D64892"/>
    <w:rsid w:val="00D64AAA"/>
    <w:rsid w:val="00D64B08"/>
    <w:rsid w:val="00D64B0B"/>
    <w:rsid w:val="00D64BAC"/>
    <w:rsid w:val="00D64C11"/>
    <w:rsid w:val="00D64C19"/>
    <w:rsid w:val="00D64C3E"/>
    <w:rsid w:val="00D64C6A"/>
    <w:rsid w:val="00D64CB2"/>
    <w:rsid w:val="00D64CEC"/>
    <w:rsid w:val="00D64D5D"/>
    <w:rsid w:val="00D64EA7"/>
    <w:rsid w:val="00D64ECD"/>
    <w:rsid w:val="00D64FA5"/>
    <w:rsid w:val="00D65466"/>
    <w:rsid w:val="00D6551A"/>
    <w:rsid w:val="00D65617"/>
    <w:rsid w:val="00D6564C"/>
    <w:rsid w:val="00D65732"/>
    <w:rsid w:val="00D658EB"/>
    <w:rsid w:val="00D65A09"/>
    <w:rsid w:val="00D65B6E"/>
    <w:rsid w:val="00D65C74"/>
    <w:rsid w:val="00D65CDE"/>
    <w:rsid w:val="00D65D25"/>
    <w:rsid w:val="00D65D9B"/>
    <w:rsid w:val="00D66004"/>
    <w:rsid w:val="00D66019"/>
    <w:rsid w:val="00D6601C"/>
    <w:rsid w:val="00D661D0"/>
    <w:rsid w:val="00D66297"/>
    <w:rsid w:val="00D6641B"/>
    <w:rsid w:val="00D6648C"/>
    <w:rsid w:val="00D66496"/>
    <w:rsid w:val="00D66549"/>
    <w:rsid w:val="00D66782"/>
    <w:rsid w:val="00D668C5"/>
    <w:rsid w:val="00D668CB"/>
    <w:rsid w:val="00D66921"/>
    <w:rsid w:val="00D66A1D"/>
    <w:rsid w:val="00D66BC1"/>
    <w:rsid w:val="00D66BD2"/>
    <w:rsid w:val="00D66BF4"/>
    <w:rsid w:val="00D66C47"/>
    <w:rsid w:val="00D66C6C"/>
    <w:rsid w:val="00D66CC9"/>
    <w:rsid w:val="00D66CDE"/>
    <w:rsid w:val="00D66D17"/>
    <w:rsid w:val="00D66F0A"/>
    <w:rsid w:val="00D66F55"/>
    <w:rsid w:val="00D66F87"/>
    <w:rsid w:val="00D66FC8"/>
    <w:rsid w:val="00D66FFC"/>
    <w:rsid w:val="00D67429"/>
    <w:rsid w:val="00D674ED"/>
    <w:rsid w:val="00D67532"/>
    <w:rsid w:val="00D6753F"/>
    <w:rsid w:val="00D675C3"/>
    <w:rsid w:val="00D67A81"/>
    <w:rsid w:val="00D67B53"/>
    <w:rsid w:val="00D67C2F"/>
    <w:rsid w:val="00D67DB1"/>
    <w:rsid w:val="00D67E05"/>
    <w:rsid w:val="00D700B3"/>
    <w:rsid w:val="00D70126"/>
    <w:rsid w:val="00D70133"/>
    <w:rsid w:val="00D7016A"/>
    <w:rsid w:val="00D701DE"/>
    <w:rsid w:val="00D7029B"/>
    <w:rsid w:val="00D702B4"/>
    <w:rsid w:val="00D704B2"/>
    <w:rsid w:val="00D7063B"/>
    <w:rsid w:val="00D706B5"/>
    <w:rsid w:val="00D7081E"/>
    <w:rsid w:val="00D70827"/>
    <w:rsid w:val="00D7083D"/>
    <w:rsid w:val="00D708A4"/>
    <w:rsid w:val="00D709D9"/>
    <w:rsid w:val="00D70D81"/>
    <w:rsid w:val="00D70DEF"/>
    <w:rsid w:val="00D7106A"/>
    <w:rsid w:val="00D71075"/>
    <w:rsid w:val="00D7121A"/>
    <w:rsid w:val="00D7130D"/>
    <w:rsid w:val="00D71484"/>
    <w:rsid w:val="00D71528"/>
    <w:rsid w:val="00D7153F"/>
    <w:rsid w:val="00D71688"/>
    <w:rsid w:val="00D716E8"/>
    <w:rsid w:val="00D717D2"/>
    <w:rsid w:val="00D71933"/>
    <w:rsid w:val="00D71B19"/>
    <w:rsid w:val="00D71BAC"/>
    <w:rsid w:val="00D71C45"/>
    <w:rsid w:val="00D71E7C"/>
    <w:rsid w:val="00D71F1D"/>
    <w:rsid w:val="00D72003"/>
    <w:rsid w:val="00D7206B"/>
    <w:rsid w:val="00D722F8"/>
    <w:rsid w:val="00D72466"/>
    <w:rsid w:val="00D72503"/>
    <w:rsid w:val="00D72781"/>
    <w:rsid w:val="00D727C5"/>
    <w:rsid w:val="00D72923"/>
    <w:rsid w:val="00D72929"/>
    <w:rsid w:val="00D72A54"/>
    <w:rsid w:val="00D72A97"/>
    <w:rsid w:val="00D72BAB"/>
    <w:rsid w:val="00D72BF7"/>
    <w:rsid w:val="00D72CC5"/>
    <w:rsid w:val="00D72D23"/>
    <w:rsid w:val="00D72D6C"/>
    <w:rsid w:val="00D72EFE"/>
    <w:rsid w:val="00D72F53"/>
    <w:rsid w:val="00D73074"/>
    <w:rsid w:val="00D7307A"/>
    <w:rsid w:val="00D731CB"/>
    <w:rsid w:val="00D73217"/>
    <w:rsid w:val="00D732CB"/>
    <w:rsid w:val="00D732DF"/>
    <w:rsid w:val="00D734CD"/>
    <w:rsid w:val="00D73528"/>
    <w:rsid w:val="00D7355A"/>
    <w:rsid w:val="00D735DF"/>
    <w:rsid w:val="00D7365E"/>
    <w:rsid w:val="00D7366A"/>
    <w:rsid w:val="00D738B0"/>
    <w:rsid w:val="00D73A64"/>
    <w:rsid w:val="00D73A68"/>
    <w:rsid w:val="00D73B2E"/>
    <w:rsid w:val="00D73BEB"/>
    <w:rsid w:val="00D73DA8"/>
    <w:rsid w:val="00D73E1A"/>
    <w:rsid w:val="00D73E24"/>
    <w:rsid w:val="00D73E87"/>
    <w:rsid w:val="00D73E89"/>
    <w:rsid w:val="00D73F30"/>
    <w:rsid w:val="00D74133"/>
    <w:rsid w:val="00D743CD"/>
    <w:rsid w:val="00D7444F"/>
    <w:rsid w:val="00D745AC"/>
    <w:rsid w:val="00D746E3"/>
    <w:rsid w:val="00D74715"/>
    <w:rsid w:val="00D74787"/>
    <w:rsid w:val="00D747C5"/>
    <w:rsid w:val="00D74967"/>
    <w:rsid w:val="00D74A91"/>
    <w:rsid w:val="00D74B5E"/>
    <w:rsid w:val="00D74BD2"/>
    <w:rsid w:val="00D74BFA"/>
    <w:rsid w:val="00D74C74"/>
    <w:rsid w:val="00D74DB4"/>
    <w:rsid w:val="00D74EDB"/>
    <w:rsid w:val="00D74F4A"/>
    <w:rsid w:val="00D74FB2"/>
    <w:rsid w:val="00D7504D"/>
    <w:rsid w:val="00D751E7"/>
    <w:rsid w:val="00D75263"/>
    <w:rsid w:val="00D75280"/>
    <w:rsid w:val="00D75397"/>
    <w:rsid w:val="00D7540C"/>
    <w:rsid w:val="00D7554D"/>
    <w:rsid w:val="00D755DC"/>
    <w:rsid w:val="00D755E8"/>
    <w:rsid w:val="00D75697"/>
    <w:rsid w:val="00D756FE"/>
    <w:rsid w:val="00D75763"/>
    <w:rsid w:val="00D7579F"/>
    <w:rsid w:val="00D7589C"/>
    <w:rsid w:val="00D75901"/>
    <w:rsid w:val="00D75A82"/>
    <w:rsid w:val="00D75B3C"/>
    <w:rsid w:val="00D75C00"/>
    <w:rsid w:val="00D75C75"/>
    <w:rsid w:val="00D75CDC"/>
    <w:rsid w:val="00D75CF0"/>
    <w:rsid w:val="00D75DF2"/>
    <w:rsid w:val="00D75FF2"/>
    <w:rsid w:val="00D760AB"/>
    <w:rsid w:val="00D760AE"/>
    <w:rsid w:val="00D76126"/>
    <w:rsid w:val="00D7640E"/>
    <w:rsid w:val="00D76626"/>
    <w:rsid w:val="00D76627"/>
    <w:rsid w:val="00D766D7"/>
    <w:rsid w:val="00D76817"/>
    <w:rsid w:val="00D768BC"/>
    <w:rsid w:val="00D76B72"/>
    <w:rsid w:val="00D76C13"/>
    <w:rsid w:val="00D76C31"/>
    <w:rsid w:val="00D76D0E"/>
    <w:rsid w:val="00D76D54"/>
    <w:rsid w:val="00D76D9D"/>
    <w:rsid w:val="00D76DD2"/>
    <w:rsid w:val="00D76FAC"/>
    <w:rsid w:val="00D770CD"/>
    <w:rsid w:val="00D77127"/>
    <w:rsid w:val="00D7729F"/>
    <w:rsid w:val="00D773A6"/>
    <w:rsid w:val="00D7774C"/>
    <w:rsid w:val="00D77802"/>
    <w:rsid w:val="00D779BC"/>
    <w:rsid w:val="00D77AD3"/>
    <w:rsid w:val="00D77CF1"/>
    <w:rsid w:val="00D77E10"/>
    <w:rsid w:val="00D801EE"/>
    <w:rsid w:val="00D80231"/>
    <w:rsid w:val="00D8024F"/>
    <w:rsid w:val="00D80288"/>
    <w:rsid w:val="00D80336"/>
    <w:rsid w:val="00D80371"/>
    <w:rsid w:val="00D803BE"/>
    <w:rsid w:val="00D803BF"/>
    <w:rsid w:val="00D8052E"/>
    <w:rsid w:val="00D80633"/>
    <w:rsid w:val="00D8069B"/>
    <w:rsid w:val="00D80711"/>
    <w:rsid w:val="00D80758"/>
    <w:rsid w:val="00D8082B"/>
    <w:rsid w:val="00D808F2"/>
    <w:rsid w:val="00D808FC"/>
    <w:rsid w:val="00D80950"/>
    <w:rsid w:val="00D80A75"/>
    <w:rsid w:val="00D80B2C"/>
    <w:rsid w:val="00D80C16"/>
    <w:rsid w:val="00D80E3B"/>
    <w:rsid w:val="00D80F1B"/>
    <w:rsid w:val="00D80F6D"/>
    <w:rsid w:val="00D8108F"/>
    <w:rsid w:val="00D8122B"/>
    <w:rsid w:val="00D81315"/>
    <w:rsid w:val="00D813FE"/>
    <w:rsid w:val="00D814F3"/>
    <w:rsid w:val="00D81536"/>
    <w:rsid w:val="00D8153D"/>
    <w:rsid w:val="00D81777"/>
    <w:rsid w:val="00D817F9"/>
    <w:rsid w:val="00D8181D"/>
    <w:rsid w:val="00D818F1"/>
    <w:rsid w:val="00D8197A"/>
    <w:rsid w:val="00D81998"/>
    <w:rsid w:val="00D819CC"/>
    <w:rsid w:val="00D819ED"/>
    <w:rsid w:val="00D81A1D"/>
    <w:rsid w:val="00D81AC8"/>
    <w:rsid w:val="00D81C03"/>
    <w:rsid w:val="00D81CBF"/>
    <w:rsid w:val="00D81DD3"/>
    <w:rsid w:val="00D81DD5"/>
    <w:rsid w:val="00D81E68"/>
    <w:rsid w:val="00D82056"/>
    <w:rsid w:val="00D820C5"/>
    <w:rsid w:val="00D82398"/>
    <w:rsid w:val="00D8242D"/>
    <w:rsid w:val="00D8249E"/>
    <w:rsid w:val="00D826EA"/>
    <w:rsid w:val="00D827A3"/>
    <w:rsid w:val="00D82810"/>
    <w:rsid w:val="00D829A0"/>
    <w:rsid w:val="00D82A29"/>
    <w:rsid w:val="00D82BBC"/>
    <w:rsid w:val="00D82C80"/>
    <w:rsid w:val="00D82C8E"/>
    <w:rsid w:val="00D82D00"/>
    <w:rsid w:val="00D82D9F"/>
    <w:rsid w:val="00D82E90"/>
    <w:rsid w:val="00D82EAC"/>
    <w:rsid w:val="00D82F66"/>
    <w:rsid w:val="00D82FF7"/>
    <w:rsid w:val="00D83018"/>
    <w:rsid w:val="00D83047"/>
    <w:rsid w:val="00D831A8"/>
    <w:rsid w:val="00D83296"/>
    <w:rsid w:val="00D833D9"/>
    <w:rsid w:val="00D83510"/>
    <w:rsid w:val="00D83788"/>
    <w:rsid w:val="00D83A03"/>
    <w:rsid w:val="00D83BD9"/>
    <w:rsid w:val="00D83CBC"/>
    <w:rsid w:val="00D83D94"/>
    <w:rsid w:val="00D83E49"/>
    <w:rsid w:val="00D83E8F"/>
    <w:rsid w:val="00D83EA4"/>
    <w:rsid w:val="00D83F08"/>
    <w:rsid w:val="00D8403C"/>
    <w:rsid w:val="00D840BE"/>
    <w:rsid w:val="00D84206"/>
    <w:rsid w:val="00D84370"/>
    <w:rsid w:val="00D843EE"/>
    <w:rsid w:val="00D84451"/>
    <w:rsid w:val="00D844C4"/>
    <w:rsid w:val="00D8459C"/>
    <w:rsid w:val="00D845CC"/>
    <w:rsid w:val="00D84613"/>
    <w:rsid w:val="00D846D3"/>
    <w:rsid w:val="00D84817"/>
    <w:rsid w:val="00D84839"/>
    <w:rsid w:val="00D8485E"/>
    <w:rsid w:val="00D8487A"/>
    <w:rsid w:val="00D84923"/>
    <w:rsid w:val="00D84938"/>
    <w:rsid w:val="00D849B9"/>
    <w:rsid w:val="00D84A3B"/>
    <w:rsid w:val="00D84AB2"/>
    <w:rsid w:val="00D84C51"/>
    <w:rsid w:val="00D84D83"/>
    <w:rsid w:val="00D84DCF"/>
    <w:rsid w:val="00D84EB7"/>
    <w:rsid w:val="00D851D7"/>
    <w:rsid w:val="00D8528E"/>
    <w:rsid w:val="00D8529D"/>
    <w:rsid w:val="00D852D3"/>
    <w:rsid w:val="00D85394"/>
    <w:rsid w:val="00D853DA"/>
    <w:rsid w:val="00D8542D"/>
    <w:rsid w:val="00D854F7"/>
    <w:rsid w:val="00D85657"/>
    <w:rsid w:val="00D856EB"/>
    <w:rsid w:val="00D8579F"/>
    <w:rsid w:val="00D85875"/>
    <w:rsid w:val="00D85ABA"/>
    <w:rsid w:val="00D85AD6"/>
    <w:rsid w:val="00D85AEC"/>
    <w:rsid w:val="00D85B61"/>
    <w:rsid w:val="00D85D03"/>
    <w:rsid w:val="00D85DD7"/>
    <w:rsid w:val="00D85E3B"/>
    <w:rsid w:val="00D85E5D"/>
    <w:rsid w:val="00D85EF4"/>
    <w:rsid w:val="00D85F3E"/>
    <w:rsid w:val="00D8601A"/>
    <w:rsid w:val="00D86147"/>
    <w:rsid w:val="00D8640D"/>
    <w:rsid w:val="00D8665A"/>
    <w:rsid w:val="00D866AE"/>
    <w:rsid w:val="00D8684B"/>
    <w:rsid w:val="00D86853"/>
    <w:rsid w:val="00D86864"/>
    <w:rsid w:val="00D86A90"/>
    <w:rsid w:val="00D86A92"/>
    <w:rsid w:val="00D86AC8"/>
    <w:rsid w:val="00D86B68"/>
    <w:rsid w:val="00D86CB5"/>
    <w:rsid w:val="00D86CE5"/>
    <w:rsid w:val="00D86D69"/>
    <w:rsid w:val="00D86F00"/>
    <w:rsid w:val="00D86F52"/>
    <w:rsid w:val="00D870A9"/>
    <w:rsid w:val="00D87459"/>
    <w:rsid w:val="00D8758E"/>
    <w:rsid w:val="00D87595"/>
    <w:rsid w:val="00D87621"/>
    <w:rsid w:val="00D87650"/>
    <w:rsid w:val="00D879F0"/>
    <w:rsid w:val="00D87B13"/>
    <w:rsid w:val="00D87D82"/>
    <w:rsid w:val="00D87FAA"/>
    <w:rsid w:val="00D900DF"/>
    <w:rsid w:val="00D900E1"/>
    <w:rsid w:val="00D9025B"/>
    <w:rsid w:val="00D902EC"/>
    <w:rsid w:val="00D9031C"/>
    <w:rsid w:val="00D9049E"/>
    <w:rsid w:val="00D904AC"/>
    <w:rsid w:val="00D904CE"/>
    <w:rsid w:val="00D904F2"/>
    <w:rsid w:val="00D905D3"/>
    <w:rsid w:val="00D9072F"/>
    <w:rsid w:val="00D907FE"/>
    <w:rsid w:val="00D908D8"/>
    <w:rsid w:val="00D90981"/>
    <w:rsid w:val="00D909A6"/>
    <w:rsid w:val="00D90A0D"/>
    <w:rsid w:val="00D90A3C"/>
    <w:rsid w:val="00D90ABF"/>
    <w:rsid w:val="00D90C6D"/>
    <w:rsid w:val="00D90CB5"/>
    <w:rsid w:val="00D90FA7"/>
    <w:rsid w:val="00D911CE"/>
    <w:rsid w:val="00D913EB"/>
    <w:rsid w:val="00D915B6"/>
    <w:rsid w:val="00D91640"/>
    <w:rsid w:val="00D9179F"/>
    <w:rsid w:val="00D9194B"/>
    <w:rsid w:val="00D91A4F"/>
    <w:rsid w:val="00D91A59"/>
    <w:rsid w:val="00D91AB8"/>
    <w:rsid w:val="00D91B97"/>
    <w:rsid w:val="00D91BE4"/>
    <w:rsid w:val="00D91D7A"/>
    <w:rsid w:val="00D91E37"/>
    <w:rsid w:val="00D91EFE"/>
    <w:rsid w:val="00D91F2B"/>
    <w:rsid w:val="00D91F67"/>
    <w:rsid w:val="00D92014"/>
    <w:rsid w:val="00D9205F"/>
    <w:rsid w:val="00D920E7"/>
    <w:rsid w:val="00D921D8"/>
    <w:rsid w:val="00D9243B"/>
    <w:rsid w:val="00D9245B"/>
    <w:rsid w:val="00D924CF"/>
    <w:rsid w:val="00D924EC"/>
    <w:rsid w:val="00D92553"/>
    <w:rsid w:val="00D9264D"/>
    <w:rsid w:val="00D927C3"/>
    <w:rsid w:val="00D927DF"/>
    <w:rsid w:val="00D92806"/>
    <w:rsid w:val="00D92847"/>
    <w:rsid w:val="00D92942"/>
    <w:rsid w:val="00D92A4F"/>
    <w:rsid w:val="00D92A61"/>
    <w:rsid w:val="00D92A64"/>
    <w:rsid w:val="00D92BC3"/>
    <w:rsid w:val="00D92C4A"/>
    <w:rsid w:val="00D92D6B"/>
    <w:rsid w:val="00D92E41"/>
    <w:rsid w:val="00D92F2F"/>
    <w:rsid w:val="00D930FA"/>
    <w:rsid w:val="00D93150"/>
    <w:rsid w:val="00D931E1"/>
    <w:rsid w:val="00D932EA"/>
    <w:rsid w:val="00D9347F"/>
    <w:rsid w:val="00D93485"/>
    <w:rsid w:val="00D934D3"/>
    <w:rsid w:val="00D93510"/>
    <w:rsid w:val="00D9369A"/>
    <w:rsid w:val="00D937A6"/>
    <w:rsid w:val="00D938C4"/>
    <w:rsid w:val="00D93944"/>
    <w:rsid w:val="00D93947"/>
    <w:rsid w:val="00D93954"/>
    <w:rsid w:val="00D9397D"/>
    <w:rsid w:val="00D93C27"/>
    <w:rsid w:val="00D93C48"/>
    <w:rsid w:val="00D93F11"/>
    <w:rsid w:val="00D93FB4"/>
    <w:rsid w:val="00D9415A"/>
    <w:rsid w:val="00D9424B"/>
    <w:rsid w:val="00D94295"/>
    <w:rsid w:val="00D9434A"/>
    <w:rsid w:val="00D9434D"/>
    <w:rsid w:val="00D94367"/>
    <w:rsid w:val="00D94435"/>
    <w:rsid w:val="00D94446"/>
    <w:rsid w:val="00D944DC"/>
    <w:rsid w:val="00D9451A"/>
    <w:rsid w:val="00D945A2"/>
    <w:rsid w:val="00D945BE"/>
    <w:rsid w:val="00D946AF"/>
    <w:rsid w:val="00D94717"/>
    <w:rsid w:val="00D94A16"/>
    <w:rsid w:val="00D94AE3"/>
    <w:rsid w:val="00D94AFF"/>
    <w:rsid w:val="00D94BD6"/>
    <w:rsid w:val="00D94C8E"/>
    <w:rsid w:val="00D94C9B"/>
    <w:rsid w:val="00D94DCF"/>
    <w:rsid w:val="00D94EAE"/>
    <w:rsid w:val="00D950A8"/>
    <w:rsid w:val="00D95214"/>
    <w:rsid w:val="00D952B2"/>
    <w:rsid w:val="00D95318"/>
    <w:rsid w:val="00D95341"/>
    <w:rsid w:val="00D9549A"/>
    <w:rsid w:val="00D959B7"/>
    <w:rsid w:val="00D95A80"/>
    <w:rsid w:val="00D95AD0"/>
    <w:rsid w:val="00D95CD8"/>
    <w:rsid w:val="00D95D94"/>
    <w:rsid w:val="00D95F91"/>
    <w:rsid w:val="00D96035"/>
    <w:rsid w:val="00D961CB"/>
    <w:rsid w:val="00D961E0"/>
    <w:rsid w:val="00D961F3"/>
    <w:rsid w:val="00D96206"/>
    <w:rsid w:val="00D965F4"/>
    <w:rsid w:val="00D96732"/>
    <w:rsid w:val="00D96858"/>
    <w:rsid w:val="00D9689F"/>
    <w:rsid w:val="00D96943"/>
    <w:rsid w:val="00D96953"/>
    <w:rsid w:val="00D96AB1"/>
    <w:rsid w:val="00D96B0A"/>
    <w:rsid w:val="00D96BFC"/>
    <w:rsid w:val="00D96C4E"/>
    <w:rsid w:val="00D96CE1"/>
    <w:rsid w:val="00D96DF6"/>
    <w:rsid w:val="00D9733D"/>
    <w:rsid w:val="00D9744C"/>
    <w:rsid w:val="00D974E9"/>
    <w:rsid w:val="00D97563"/>
    <w:rsid w:val="00D9767F"/>
    <w:rsid w:val="00D976D4"/>
    <w:rsid w:val="00D9787E"/>
    <w:rsid w:val="00D979BD"/>
    <w:rsid w:val="00D979EB"/>
    <w:rsid w:val="00D97C15"/>
    <w:rsid w:val="00D97DC2"/>
    <w:rsid w:val="00D97F2F"/>
    <w:rsid w:val="00DA00F2"/>
    <w:rsid w:val="00DA0243"/>
    <w:rsid w:val="00DA0418"/>
    <w:rsid w:val="00DA0445"/>
    <w:rsid w:val="00DA044A"/>
    <w:rsid w:val="00DA047E"/>
    <w:rsid w:val="00DA04D0"/>
    <w:rsid w:val="00DA05E5"/>
    <w:rsid w:val="00DA060F"/>
    <w:rsid w:val="00DA06AE"/>
    <w:rsid w:val="00DA0747"/>
    <w:rsid w:val="00DA07A3"/>
    <w:rsid w:val="00DA0894"/>
    <w:rsid w:val="00DA0BED"/>
    <w:rsid w:val="00DA0D64"/>
    <w:rsid w:val="00DA0DE1"/>
    <w:rsid w:val="00DA0FE3"/>
    <w:rsid w:val="00DA1001"/>
    <w:rsid w:val="00DA1069"/>
    <w:rsid w:val="00DA108B"/>
    <w:rsid w:val="00DA1130"/>
    <w:rsid w:val="00DA1136"/>
    <w:rsid w:val="00DA1185"/>
    <w:rsid w:val="00DA1197"/>
    <w:rsid w:val="00DA124A"/>
    <w:rsid w:val="00DA12DF"/>
    <w:rsid w:val="00DA132B"/>
    <w:rsid w:val="00DA1392"/>
    <w:rsid w:val="00DA13B8"/>
    <w:rsid w:val="00DA1446"/>
    <w:rsid w:val="00DA14D1"/>
    <w:rsid w:val="00DA15DC"/>
    <w:rsid w:val="00DA1610"/>
    <w:rsid w:val="00DA174B"/>
    <w:rsid w:val="00DA1810"/>
    <w:rsid w:val="00DA1823"/>
    <w:rsid w:val="00DA18F2"/>
    <w:rsid w:val="00DA196A"/>
    <w:rsid w:val="00DA19A2"/>
    <w:rsid w:val="00DA1A05"/>
    <w:rsid w:val="00DA1A50"/>
    <w:rsid w:val="00DA1B33"/>
    <w:rsid w:val="00DA1CC5"/>
    <w:rsid w:val="00DA1DAD"/>
    <w:rsid w:val="00DA1DC5"/>
    <w:rsid w:val="00DA1E46"/>
    <w:rsid w:val="00DA20BA"/>
    <w:rsid w:val="00DA21DF"/>
    <w:rsid w:val="00DA2247"/>
    <w:rsid w:val="00DA224B"/>
    <w:rsid w:val="00DA22D0"/>
    <w:rsid w:val="00DA2333"/>
    <w:rsid w:val="00DA2393"/>
    <w:rsid w:val="00DA23C2"/>
    <w:rsid w:val="00DA24AD"/>
    <w:rsid w:val="00DA25B9"/>
    <w:rsid w:val="00DA2645"/>
    <w:rsid w:val="00DA26F6"/>
    <w:rsid w:val="00DA28B3"/>
    <w:rsid w:val="00DA298D"/>
    <w:rsid w:val="00DA29EC"/>
    <w:rsid w:val="00DA2A3E"/>
    <w:rsid w:val="00DA2AB0"/>
    <w:rsid w:val="00DA2B36"/>
    <w:rsid w:val="00DA2D15"/>
    <w:rsid w:val="00DA2DC6"/>
    <w:rsid w:val="00DA2E14"/>
    <w:rsid w:val="00DA2E94"/>
    <w:rsid w:val="00DA30D8"/>
    <w:rsid w:val="00DA3130"/>
    <w:rsid w:val="00DA3185"/>
    <w:rsid w:val="00DA31CF"/>
    <w:rsid w:val="00DA3328"/>
    <w:rsid w:val="00DA3361"/>
    <w:rsid w:val="00DA34AE"/>
    <w:rsid w:val="00DA3520"/>
    <w:rsid w:val="00DA36B4"/>
    <w:rsid w:val="00DA3820"/>
    <w:rsid w:val="00DA389B"/>
    <w:rsid w:val="00DA38C1"/>
    <w:rsid w:val="00DA3913"/>
    <w:rsid w:val="00DA3B19"/>
    <w:rsid w:val="00DA3B3B"/>
    <w:rsid w:val="00DA3C72"/>
    <w:rsid w:val="00DA3C86"/>
    <w:rsid w:val="00DA3CB9"/>
    <w:rsid w:val="00DA3CFB"/>
    <w:rsid w:val="00DA3D52"/>
    <w:rsid w:val="00DA3D6F"/>
    <w:rsid w:val="00DA3E76"/>
    <w:rsid w:val="00DA3EB6"/>
    <w:rsid w:val="00DA4054"/>
    <w:rsid w:val="00DA4137"/>
    <w:rsid w:val="00DA4161"/>
    <w:rsid w:val="00DA4222"/>
    <w:rsid w:val="00DA4309"/>
    <w:rsid w:val="00DA440F"/>
    <w:rsid w:val="00DA448D"/>
    <w:rsid w:val="00DA4584"/>
    <w:rsid w:val="00DA459C"/>
    <w:rsid w:val="00DA45AE"/>
    <w:rsid w:val="00DA46FD"/>
    <w:rsid w:val="00DA48A8"/>
    <w:rsid w:val="00DA48AE"/>
    <w:rsid w:val="00DA4915"/>
    <w:rsid w:val="00DA4B3A"/>
    <w:rsid w:val="00DA4BE2"/>
    <w:rsid w:val="00DA4D64"/>
    <w:rsid w:val="00DA4DAD"/>
    <w:rsid w:val="00DA4E9A"/>
    <w:rsid w:val="00DA501A"/>
    <w:rsid w:val="00DA5028"/>
    <w:rsid w:val="00DA50C1"/>
    <w:rsid w:val="00DA5234"/>
    <w:rsid w:val="00DA5332"/>
    <w:rsid w:val="00DA535D"/>
    <w:rsid w:val="00DA53E9"/>
    <w:rsid w:val="00DA5415"/>
    <w:rsid w:val="00DA545F"/>
    <w:rsid w:val="00DA561A"/>
    <w:rsid w:val="00DA561B"/>
    <w:rsid w:val="00DA5723"/>
    <w:rsid w:val="00DA5796"/>
    <w:rsid w:val="00DA583A"/>
    <w:rsid w:val="00DA586F"/>
    <w:rsid w:val="00DA5878"/>
    <w:rsid w:val="00DA59C2"/>
    <w:rsid w:val="00DA59E0"/>
    <w:rsid w:val="00DA59FD"/>
    <w:rsid w:val="00DA5B3D"/>
    <w:rsid w:val="00DA5BA2"/>
    <w:rsid w:val="00DA5C27"/>
    <w:rsid w:val="00DA5CD3"/>
    <w:rsid w:val="00DA5CF7"/>
    <w:rsid w:val="00DA5DD9"/>
    <w:rsid w:val="00DA5E9E"/>
    <w:rsid w:val="00DA5EAF"/>
    <w:rsid w:val="00DA5EEB"/>
    <w:rsid w:val="00DA5F61"/>
    <w:rsid w:val="00DA5FFE"/>
    <w:rsid w:val="00DA6063"/>
    <w:rsid w:val="00DA6135"/>
    <w:rsid w:val="00DA625F"/>
    <w:rsid w:val="00DA62F0"/>
    <w:rsid w:val="00DA634B"/>
    <w:rsid w:val="00DA636C"/>
    <w:rsid w:val="00DA64FE"/>
    <w:rsid w:val="00DA6534"/>
    <w:rsid w:val="00DA65F0"/>
    <w:rsid w:val="00DA65F1"/>
    <w:rsid w:val="00DA6869"/>
    <w:rsid w:val="00DA6891"/>
    <w:rsid w:val="00DA6907"/>
    <w:rsid w:val="00DA6D81"/>
    <w:rsid w:val="00DA6E50"/>
    <w:rsid w:val="00DA6EB5"/>
    <w:rsid w:val="00DA6FC9"/>
    <w:rsid w:val="00DA7059"/>
    <w:rsid w:val="00DA70CA"/>
    <w:rsid w:val="00DA70D4"/>
    <w:rsid w:val="00DA710F"/>
    <w:rsid w:val="00DA7155"/>
    <w:rsid w:val="00DA71B2"/>
    <w:rsid w:val="00DA7201"/>
    <w:rsid w:val="00DA751F"/>
    <w:rsid w:val="00DA7541"/>
    <w:rsid w:val="00DA7675"/>
    <w:rsid w:val="00DA7757"/>
    <w:rsid w:val="00DA77CD"/>
    <w:rsid w:val="00DA7846"/>
    <w:rsid w:val="00DA7889"/>
    <w:rsid w:val="00DA7965"/>
    <w:rsid w:val="00DA7A0C"/>
    <w:rsid w:val="00DA7A84"/>
    <w:rsid w:val="00DA7BDF"/>
    <w:rsid w:val="00DA7CA1"/>
    <w:rsid w:val="00DA7CD4"/>
    <w:rsid w:val="00DA7CD7"/>
    <w:rsid w:val="00DA7D50"/>
    <w:rsid w:val="00DA7F0F"/>
    <w:rsid w:val="00DA7F1A"/>
    <w:rsid w:val="00DB001B"/>
    <w:rsid w:val="00DB0103"/>
    <w:rsid w:val="00DB0159"/>
    <w:rsid w:val="00DB01CF"/>
    <w:rsid w:val="00DB0218"/>
    <w:rsid w:val="00DB0253"/>
    <w:rsid w:val="00DB02B7"/>
    <w:rsid w:val="00DB0318"/>
    <w:rsid w:val="00DB035E"/>
    <w:rsid w:val="00DB03A0"/>
    <w:rsid w:val="00DB03A6"/>
    <w:rsid w:val="00DB03A9"/>
    <w:rsid w:val="00DB04CF"/>
    <w:rsid w:val="00DB05D1"/>
    <w:rsid w:val="00DB0677"/>
    <w:rsid w:val="00DB08DA"/>
    <w:rsid w:val="00DB0982"/>
    <w:rsid w:val="00DB0A02"/>
    <w:rsid w:val="00DB101B"/>
    <w:rsid w:val="00DB1104"/>
    <w:rsid w:val="00DB1153"/>
    <w:rsid w:val="00DB11E3"/>
    <w:rsid w:val="00DB1415"/>
    <w:rsid w:val="00DB145B"/>
    <w:rsid w:val="00DB14B7"/>
    <w:rsid w:val="00DB16AD"/>
    <w:rsid w:val="00DB18FD"/>
    <w:rsid w:val="00DB1AA7"/>
    <w:rsid w:val="00DB1B69"/>
    <w:rsid w:val="00DB1B82"/>
    <w:rsid w:val="00DB1CCD"/>
    <w:rsid w:val="00DB1D53"/>
    <w:rsid w:val="00DB1E74"/>
    <w:rsid w:val="00DB1EC6"/>
    <w:rsid w:val="00DB1F21"/>
    <w:rsid w:val="00DB1F67"/>
    <w:rsid w:val="00DB1FDB"/>
    <w:rsid w:val="00DB21AD"/>
    <w:rsid w:val="00DB21F4"/>
    <w:rsid w:val="00DB2320"/>
    <w:rsid w:val="00DB23A6"/>
    <w:rsid w:val="00DB2485"/>
    <w:rsid w:val="00DB25A6"/>
    <w:rsid w:val="00DB2708"/>
    <w:rsid w:val="00DB27A8"/>
    <w:rsid w:val="00DB283F"/>
    <w:rsid w:val="00DB2902"/>
    <w:rsid w:val="00DB29EA"/>
    <w:rsid w:val="00DB2A5B"/>
    <w:rsid w:val="00DB2B24"/>
    <w:rsid w:val="00DB2B31"/>
    <w:rsid w:val="00DB2E1A"/>
    <w:rsid w:val="00DB2F89"/>
    <w:rsid w:val="00DB3015"/>
    <w:rsid w:val="00DB3121"/>
    <w:rsid w:val="00DB3164"/>
    <w:rsid w:val="00DB316D"/>
    <w:rsid w:val="00DB328F"/>
    <w:rsid w:val="00DB32E6"/>
    <w:rsid w:val="00DB33E5"/>
    <w:rsid w:val="00DB3461"/>
    <w:rsid w:val="00DB34EB"/>
    <w:rsid w:val="00DB3814"/>
    <w:rsid w:val="00DB389D"/>
    <w:rsid w:val="00DB3968"/>
    <w:rsid w:val="00DB3C17"/>
    <w:rsid w:val="00DB3CFC"/>
    <w:rsid w:val="00DB3D49"/>
    <w:rsid w:val="00DB3E57"/>
    <w:rsid w:val="00DB3F7C"/>
    <w:rsid w:val="00DB3F94"/>
    <w:rsid w:val="00DB4000"/>
    <w:rsid w:val="00DB4059"/>
    <w:rsid w:val="00DB412A"/>
    <w:rsid w:val="00DB42BC"/>
    <w:rsid w:val="00DB435B"/>
    <w:rsid w:val="00DB44BE"/>
    <w:rsid w:val="00DB45D8"/>
    <w:rsid w:val="00DB45EE"/>
    <w:rsid w:val="00DB471B"/>
    <w:rsid w:val="00DB4762"/>
    <w:rsid w:val="00DB47A6"/>
    <w:rsid w:val="00DB47B9"/>
    <w:rsid w:val="00DB4881"/>
    <w:rsid w:val="00DB493E"/>
    <w:rsid w:val="00DB4CBF"/>
    <w:rsid w:val="00DB4D21"/>
    <w:rsid w:val="00DB4D98"/>
    <w:rsid w:val="00DB5032"/>
    <w:rsid w:val="00DB505A"/>
    <w:rsid w:val="00DB5268"/>
    <w:rsid w:val="00DB5329"/>
    <w:rsid w:val="00DB57C2"/>
    <w:rsid w:val="00DB590D"/>
    <w:rsid w:val="00DB5B1D"/>
    <w:rsid w:val="00DB5BF5"/>
    <w:rsid w:val="00DB5C33"/>
    <w:rsid w:val="00DB5CE4"/>
    <w:rsid w:val="00DB5D66"/>
    <w:rsid w:val="00DB5F9C"/>
    <w:rsid w:val="00DB607B"/>
    <w:rsid w:val="00DB6149"/>
    <w:rsid w:val="00DB61AD"/>
    <w:rsid w:val="00DB625E"/>
    <w:rsid w:val="00DB6311"/>
    <w:rsid w:val="00DB631B"/>
    <w:rsid w:val="00DB6427"/>
    <w:rsid w:val="00DB661A"/>
    <w:rsid w:val="00DB670A"/>
    <w:rsid w:val="00DB6742"/>
    <w:rsid w:val="00DB67B6"/>
    <w:rsid w:val="00DB67FF"/>
    <w:rsid w:val="00DB687C"/>
    <w:rsid w:val="00DB6954"/>
    <w:rsid w:val="00DB6A14"/>
    <w:rsid w:val="00DB6ABC"/>
    <w:rsid w:val="00DB6AD2"/>
    <w:rsid w:val="00DB6CAC"/>
    <w:rsid w:val="00DB6CC5"/>
    <w:rsid w:val="00DB6E4B"/>
    <w:rsid w:val="00DB6F41"/>
    <w:rsid w:val="00DB6FC8"/>
    <w:rsid w:val="00DB6FCF"/>
    <w:rsid w:val="00DB7021"/>
    <w:rsid w:val="00DB715B"/>
    <w:rsid w:val="00DB71D5"/>
    <w:rsid w:val="00DB7301"/>
    <w:rsid w:val="00DB7338"/>
    <w:rsid w:val="00DB742D"/>
    <w:rsid w:val="00DB7575"/>
    <w:rsid w:val="00DB77E5"/>
    <w:rsid w:val="00DB797B"/>
    <w:rsid w:val="00DB7A1B"/>
    <w:rsid w:val="00DB7A54"/>
    <w:rsid w:val="00DB7A74"/>
    <w:rsid w:val="00DB7AE7"/>
    <w:rsid w:val="00DB7B7F"/>
    <w:rsid w:val="00DB7BA1"/>
    <w:rsid w:val="00DB7C0A"/>
    <w:rsid w:val="00DB7D10"/>
    <w:rsid w:val="00DB7D7E"/>
    <w:rsid w:val="00DB7E46"/>
    <w:rsid w:val="00DB7E58"/>
    <w:rsid w:val="00DB7F09"/>
    <w:rsid w:val="00DB7F70"/>
    <w:rsid w:val="00DC0055"/>
    <w:rsid w:val="00DC0083"/>
    <w:rsid w:val="00DC00E8"/>
    <w:rsid w:val="00DC0224"/>
    <w:rsid w:val="00DC035E"/>
    <w:rsid w:val="00DC0645"/>
    <w:rsid w:val="00DC064D"/>
    <w:rsid w:val="00DC0671"/>
    <w:rsid w:val="00DC06C2"/>
    <w:rsid w:val="00DC078B"/>
    <w:rsid w:val="00DC084A"/>
    <w:rsid w:val="00DC085E"/>
    <w:rsid w:val="00DC09B7"/>
    <w:rsid w:val="00DC09C6"/>
    <w:rsid w:val="00DC09CD"/>
    <w:rsid w:val="00DC0A2A"/>
    <w:rsid w:val="00DC0AA0"/>
    <w:rsid w:val="00DC0BDA"/>
    <w:rsid w:val="00DC0EB8"/>
    <w:rsid w:val="00DC1244"/>
    <w:rsid w:val="00DC130A"/>
    <w:rsid w:val="00DC13C5"/>
    <w:rsid w:val="00DC13F4"/>
    <w:rsid w:val="00DC1483"/>
    <w:rsid w:val="00DC1849"/>
    <w:rsid w:val="00DC18B9"/>
    <w:rsid w:val="00DC18FF"/>
    <w:rsid w:val="00DC19CF"/>
    <w:rsid w:val="00DC1BBA"/>
    <w:rsid w:val="00DC1C10"/>
    <w:rsid w:val="00DC1C56"/>
    <w:rsid w:val="00DC1C90"/>
    <w:rsid w:val="00DC1D62"/>
    <w:rsid w:val="00DC1E45"/>
    <w:rsid w:val="00DC1F3F"/>
    <w:rsid w:val="00DC20B2"/>
    <w:rsid w:val="00DC214B"/>
    <w:rsid w:val="00DC2317"/>
    <w:rsid w:val="00DC2323"/>
    <w:rsid w:val="00DC23A4"/>
    <w:rsid w:val="00DC242E"/>
    <w:rsid w:val="00DC24D7"/>
    <w:rsid w:val="00DC2587"/>
    <w:rsid w:val="00DC26B5"/>
    <w:rsid w:val="00DC275B"/>
    <w:rsid w:val="00DC2798"/>
    <w:rsid w:val="00DC27FA"/>
    <w:rsid w:val="00DC29DA"/>
    <w:rsid w:val="00DC2A9B"/>
    <w:rsid w:val="00DC2C09"/>
    <w:rsid w:val="00DC2C18"/>
    <w:rsid w:val="00DC2C7D"/>
    <w:rsid w:val="00DC2D3C"/>
    <w:rsid w:val="00DC2E2C"/>
    <w:rsid w:val="00DC2F31"/>
    <w:rsid w:val="00DC2F49"/>
    <w:rsid w:val="00DC2FB6"/>
    <w:rsid w:val="00DC3096"/>
    <w:rsid w:val="00DC3249"/>
    <w:rsid w:val="00DC3377"/>
    <w:rsid w:val="00DC33D9"/>
    <w:rsid w:val="00DC34F2"/>
    <w:rsid w:val="00DC350B"/>
    <w:rsid w:val="00DC3544"/>
    <w:rsid w:val="00DC362E"/>
    <w:rsid w:val="00DC373B"/>
    <w:rsid w:val="00DC37E1"/>
    <w:rsid w:val="00DC3B02"/>
    <w:rsid w:val="00DC3FA0"/>
    <w:rsid w:val="00DC40D7"/>
    <w:rsid w:val="00DC443D"/>
    <w:rsid w:val="00DC4483"/>
    <w:rsid w:val="00DC44A4"/>
    <w:rsid w:val="00DC4612"/>
    <w:rsid w:val="00DC4688"/>
    <w:rsid w:val="00DC46B8"/>
    <w:rsid w:val="00DC4756"/>
    <w:rsid w:val="00DC4762"/>
    <w:rsid w:val="00DC47CE"/>
    <w:rsid w:val="00DC4AC7"/>
    <w:rsid w:val="00DC4B03"/>
    <w:rsid w:val="00DC4B1F"/>
    <w:rsid w:val="00DC4BF7"/>
    <w:rsid w:val="00DC4D38"/>
    <w:rsid w:val="00DC4DE4"/>
    <w:rsid w:val="00DC50DC"/>
    <w:rsid w:val="00DC5201"/>
    <w:rsid w:val="00DC533A"/>
    <w:rsid w:val="00DC5623"/>
    <w:rsid w:val="00DC5628"/>
    <w:rsid w:val="00DC56EB"/>
    <w:rsid w:val="00DC5705"/>
    <w:rsid w:val="00DC576B"/>
    <w:rsid w:val="00DC580A"/>
    <w:rsid w:val="00DC585F"/>
    <w:rsid w:val="00DC5871"/>
    <w:rsid w:val="00DC5BC6"/>
    <w:rsid w:val="00DC5C91"/>
    <w:rsid w:val="00DC5D93"/>
    <w:rsid w:val="00DC5E28"/>
    <w:rsid w:val="00DC5EB9"/>
    <w:rsid w:val="00DC5F9D"/>
    <w:rsid w:val="00DC5FDE"/>
    <w:rsid w:val="00DC608A"/>
    <w:rsid w:val="00DC62FC"/>
    <w:rsid w:val="00DC6379"/>
    <w:rsid w:val="00DC6690"/>
    <w:rsid w:val="00DC66C7"/>
    <w:rsid w:val="00DC6797"/>
    <w:rsid w:val="00DC686B"/>
    <w:rsid w:val="00DC68E8"/>
    <w:rsid w:val="00DC69D9"/>
    <w:rsid w:val="00DC6AAD"/>
    <w:rsid w:val="00DC6B20"/>
    <w:rsid w:val="00DC6B27"/>
    <w:rsid w:val="00DC6BCA"/>
    <w:rsid w:val="00DC6C8A"/>
    <w:rsid w:val="00DC6DDE"/>
    <w:rsid w:val="00DC6E90"/>
    <w:rsid w:val="00DC7111"/>
    <w:rsid w:val="00DC71A6"/>
    <w:rsid w:val="00DC7206"/>
    <w:rsid w:val="00DC7241"/>
    <w:rsid w:val="00DC72B1"/>
    <w:rsid w:val="00DC731F"/>
    <w:rsid w:val="00DC73A2"/>
    <w:rsid w:val="00DC7494"/>
    <w:rsid w:val="00DC7606"/>
    <w:rsid w:val="00DC7610"/>
    <w:rsid w:val="00DC7620"/>
    <w:rsid w:val="00DC7625"/>
    <w:rsid w:val="00DC7627"/>
    <w:rsid w:val="00DC7744"/>
    <w:rsid w:val="00DC7809"/>
    <w:rsid w:val="00DC7821"/>
    <w:rsid w:val="00DC7859"/>
    <w:rsid w:val="00DC78DB"/>
    <w:rsid w:val="00DC7B0C"/>
    <w:rsid w:val="00DC7B59"/>
    <w:rsid w:val="00DC7B64"/>
    <w:rsid w:val="00DC7C82"/>
    <w:rsid w:val="00DC7CAC"/>
    <w:rsid w:val="00DC7D83"/>
    <w:rsid w:val="00DC7D86"/>
    <w:rsid w:val="00DC7E1F"/>
    <w:rsid w:val="00DC7ECD"/>
    <w:rsid w:val="00DD0388"/>
    <w:rsid w:val="00DD0490"/>
    <w:rsid w:val="00DD0552"/>
    <w:rsid w:val="00DD056D"/>
    <w:rsid w:val="00DD064C"/>
    <w:rsid w:val="00DD067B"/>
    <w:rsid w:val="00DD0805"/>
    <w:rsid w:val="00DD0822"/>
    <w:rsid w:val="00DD0939"/>
    <w:rsid w:val="00DD0A58"/>
    <w:rsid w:val="00DD0B2C"/>
    <w:rsid w:val="00DD0CB0"/>
    <w:rsid w:val="00DD0CE1"/>
    <w:rsid w:val="00DD0D17"/>
    <w:rsid w:val="00DD0EBC"/>
    <w:rsid w:val="00DD0F92"/>
    <w:rsid w:val="00DD0FCA"/>
    <w:rsid w:val="00DD1064"/>
    <w:rsid w:val="00DD10ED"/>
    <w:rsid w:val="00DD113D"/>
    <w:rsid w:val="00DD11A2"/>
    <w:rsid w:val="00DD11DD"/>
    <w:rsid w:val="00DD12BD"/>
    <w:rsid w:val="00DD12F4"/>
    <w:rsid w:val="00DD13C2"/>
    <w:rsid w:val="00DD14AC"/>
    <w:rsid w:val="00DD190C"/>
    <w:rsid w:val="00DD19FE"/>
    <w:rsid w:val="00DD1B90"/>
    <w:rsid w:val="00DD1C38"/>
    <w:rsid w:val="00DD1CA6"/>
    <w:rsid w:val="00DD1CDA"/>
    <w:rsid w:val="00DD1DAA"/>
    <w:rsid w:val="00DD1DCE"/>
    <w:rsid w:val="00DD1FEC"/>
    <w:rsid w:val="00DD205A"/>
    <w:rsid w:val="00DD2138"/>
    <w:rsid w:val="00DD219E"/>
    <w:rsid w:val="00DD230D"/>
    <w:rsid w:val="00DD25C2"/>
    <w:rsid w:val="00DD25F5"/>
    <w:rsid w:val="00DD2774"/>
    <w:rsid w:val="00DD28FA"/>
    <w:rsid w:val="00DD294A"/>
    <w:rsid w:val="00DD2952"/>
    <w:rsid w:val="00DD2AA7"/>
    <w:rsid w:val="00DD2B5C"/>
    <w:rsid w:val="00DD2C4D"/>
    <w:rsid w:val="00DD2CF7"/>
    <w:rsid w:val="00DD2DE4"/>
    <w:rsid w:val="00DD2DEE"/>
    <w:rsid w:val="00DD2EC2"/>
    <w:rsid w:val="00DD2FA6"/>
    <w:rsid w:val="00DD2FFE"/>
    <w:rsid w:val="00DD3154"/>
    <w:rsid w:val="00DD31D8"/>
    <w:rsid w:val="00DD348D"/>
    <w:rsid w:val="00DD34EC"/>
    <w:rsid w:val="00DD375B"/>
    <w:rsid w:val="00DD37CA"/>
    <w:rsid w:val="00DD3842"/>
    <w:rsid w:val="00DD3C2C"/>
    <w:rsid w:val="00DD3E96"/>
    <w:rsid w:val="00DD4023"/>
    <w:rsid w:val="00DD42DF"/>
    <w:rsid w:val="00DD438E"/>
    <w:rsid w:val="00DD453E"/>
    <w:rsid w:val="00DD471A"/>
    <w:rsid w:val="00DD4836"/>
    <w:rsid w:val="00DD4B26"/>
    <w:rsid w:val="00DD4CD4"/>
    <w:rsid w:val="00DD4F05"/>
    <w:rsid w:val="00DD4F73"/>
    <w:rsid w:val="00DD4F91"/>
    <w:rsid w:val="00DD4FFB"/>
    <w:rsid w:val="00DD51F1"/>
    <w:rsid w:val="00DD53F0"/>
    <w:rsid w:val="00DD5460"/>
    <w:rsid w:val="00DD5468"/>
    <w:rsid w:val="00DD5475"/>
    <w:rsid w:val="00DD549D"/>
    <w:rsid w:val="00DD5689"/>
    <w:rsid w:val="00DD5A30"/>
    <w:rsid w:val="00DD5B1D"/>
    <w:rsid w:val="00DD5C15"/>
    <w:rsid w:val="00DD5D49"/>
    <w:rsid w:val="00DD5D86"/>
    <w:rsid w:val="00DD5EC8"/>
    <w:rsid w:val="00DD5F17"/>
    <w:rsid w:val="00DD5F22"/>
    <w:rsid w:val="00DD6089"/>
    <w:rsid w:val="00DD623E"/>
    <w:rsid w:val="00DD625F"/>
    <w:rsid w:val="00DD62F0"/>
    <w:rsid w:val="00DD62FB"/>
    <w:rsid w:val="00DD639E"/>
    <w:rsid w:val="00DD6534"/>
    <w:rsid w:val="00DD6556"/>
    <w:rsid w:val="00DD6607"/>
    <w:rsid w:val="00DD6676"/>
    <w:rsid w:val="00DD66C8"/>
    <w:rsid w:val="00DD66CE"/>
    <w:rsid w:val="00DD690B"/>
    <w:rsid w:val="00DD69FA"/>
    <w:rsid w:val="00DD6AF8"/>
    <w:rsid w:val="00DD6BA5"/>
    <w:rsid w:val="00DD6CED"/>
    <w:rsid w:val="00DD6D19"/>
    <w:rsid w:val="00DD6D2B"/>
    <w:rsid w:val="00DD6F1F"/>
    <w:rsid w:val="00DD71FF"/>
    <w:rsid w:val="00DD72FF"/>
    <w:rsid w:val="00DD7302"/>
    <w:rsid w:val="00DD7430"/>
    <w:rsid w:val="00DD7638"/>
    <w:rsid w:val="00DD77DE"/>
    <w:rsid w:val="00DD78E8"/>
    <w:rsid w:val="00DD7972"/>
    <w:rsid w:val="00DD7A45"/>
    <w:rsid w:val="00DD7C6D"/>
    <w:rsid w:val="00DD7CC2"/>
    <w:rsid w:val="00DD7F9F"/>
    <w:rsid w:val="00DE0028"/>
    <w:rsid w:val="00DE0070"/>
    <w:rsid w:val="00DE00F4"/>
    <w:rsid w:val="00DE00FF"/>
    <w:rsid w:val="00DE011E"/>
    <w:rsid w:val="00DE01B5"/>
    <w:rsid w:val="00DE024D"/>
    <w:rsid w:val="00DE0302"/>
    <w:rsid w:val="00DE03C2"/>
    <w:rsid w:val="00DE03FC"/>
    <w:rsid w:val="00DE0434"/>
    <w:rsid w:val="00DE04E9"/>
    <w:rsid w:val="00DE050F"/>
    <w:rsid w:val="00DE0620"/>
    <w:rsid w:val="00DE070C"/>
    <w:rsid w:val="00DE07C0"/>
    <w:rsid w:val="00DE0977"/>
    <w:rsid w:val="00DE0986"/>
    <w:rsid w:val="00DE09E5"/>
    <w:rsid w:val="00DE0A0B"/>
    <w:rsid w:val="00DE0A1D"/>
    <w:rsid w:val="00DE0D46"/>
    <w:rsid w:val="00DE0E5E"/>
    <w:rsid w:val="00DE0E6C"/>
    <w:rsid w:val="00DE0F6B"/>
    <w:rsid w:val="00DE0F84"/>
    <w:rsid w:val="00DE0FC9"/>
    <w:rsid w:val="00DE1250"/>
    <w:rsid w:val="00DE136A"/>
    <w:rsid w:val="00DE1382"/>
    <w:rsid w:val="00DE1460"/>
    <w:rsid w:val="00DE1489"/>
    <w:rsid w:val="00DE1535"/>
    <w:rsid w:val="00DE1560"/>
    <w:rsid w:val="00DE1671"/>
    <w:rsid w:val="00DE1716"/>
    <w:rsid w:val="00DE171F"/>
    <w:rsid w:val="00DE1751"/>
    <w:rsid w:val="00DE1952"/>
    <w:rsid w:val="00DE1ACF"/>
    <w:rsid w:val="00DE1CB7"/>
    <w:rsid w:val="00DE1D12"/>
    <w:rsid w:val="00DE1D58"/>
    <w:rsid w:val="00DE1F56"/>
    <w:rsid w:val="00DE1F8B"/>
    <w:rsid w:val="00DE21B6"/>
    <w:rsid w:val="00DE2439"/>
    <w:rsid w:val="00DE244A"/>
    <w:rsid w:val="00DE2545"/>
    <w:rsid w:val="00DE2667"/>
    <w:rsid w:val="00DE269E"/>
    <w:rsid w:val="00DE26C9"/>
    <w:rsid w:val="00DE2708"/>
    <w:rsid w:val="00DE2763"/>
    <w:rsid w:val="00DE294A"/>
    <w:rsid w:val="00DE295F"/>
    <w:rsid w:val="00DE2B24"/>
    <w:rsid w:val="00DE2B6F"/>
    <w:rsid w:val="00DE2BEB"/>
    <w:rsid w:val="00DE2C96"/>
    <w:rsid w:val="00DE2E8C"/>
    <w:rsid w:val="00DE2ED0"/>
    <w:rsid w:val="00DE2ED5"/>
    <w:rsid w:val="00DE3049"/>
    <w:rsid w:val="00DE31E3"/>
    <w:rsid w:val="00DE335D"/>
    <w:rsid w:val="00DE33ED"/>
    <w:rsid w:val="00DE34A9"/>
    <w:rsid w:val="00DE3532"/>
    <w:rsid w:val="00DE39F6"/>
    <w:rsid w:val="00DE3A53"/>
    <w:rsid w:val="00DE3B16"/>
    <w:rsid w:val="00DE3B35"/>
    <w:rsid w:val="00DE3C77"/>
    <w:rsid w:val="00DE3CD2"/>
    <w:rsid w:val="00DE3D00"/>
    <w:rsid w:val="00DE3E26"/>
    <w:rsid w:val="00DE411D"/>
    <w:rsid w:val="00DE4249"/>
    <w:rsid w:val="00DE4440"/>
    <w:rsid w:val="00DE44F1"/>
    <w:rsid w:val="00DE45BF"/>
    <w:rsid w:val="00DE463B"/>
    <w:rsid w:val="00DE4647"/>
    <w:rsid w:val="00DE46FD"/>
    <w:rsid w:val="00DE4724"/>
    <w:rsid w:val="00DE4754"/>
    <w:rsid w:val="00DE4976"/>
    <w:rsid w:val="00DE49A1"/>
    <w:rsid w:val="00DE49B4"/>
    <w:rsid w:val="00DE4B21"/>
    <w:rsid w:val="00DE4B35"/>
    <w:rsid w:val="00DE4C23"/>
    <w:rsid w:val="00DE4C8A"/>
    <w:rsid w:val="00DE4CA6"/>
    <w:rsid w:val="00DE4D8B"/>
    <w:rsid w:val="00DE4D97"/>
    <w:rsid w:val="00DE4DDB"/>
    <w:rsid w:val="00DE4E14"/>
    <w:rsid w:val="00DE4E39"/>
    <w:rsid w:val="00DE4E74"/>
    <w:rsid w:val="00DE4FC3"/>
    <w:rsid w:val="00DE50CE"/>
    <w:rsid w:val="00DE51A8"/>
    <w:rsid w:val="00DE5212"/>
    <w:rsid w:val="00DE53A5"/>
    <w:rsid w:val="00DE558E"/>
    <w:rsid w:val="00DE55B7"/>
    <w:rsid w:val="00DE5650"/>
    <w:rsid w:val="00DE5705"/>
    <w:rsid w:val="00DE5756"/>
    <w:rsid w:val="00DE57BB"/>
    <w:rsid w:val="00DE594A"/>
    <w:rsid w:val="00DE5A12"/>
    <w:rsid w:val="00DE5A52"/>
    <w:rsid w:val="00DE5B22"/>
    <w:rsid w:val="00DE5C60"/>
    <w:rsid w:val="00DE5D61"/>
    <w:rsid w:val="00DE5E2E"/>
    <w:rsid w:val="00DE5E30"/>
    <w:rsid w:val="00DE5EBC"/>
    <w:rsid w:val="00DE5FD2"/>
    <w:rsid w:val="00DE6007"/>
    <w:rsid w:val="00DE6058"/>
    <w:rsid w:val="00DE60DC"/>
    <w:rsid w:val="00DE6283"/>
    <w:rsid w:val="00DE632F"/>
    <w:rsid w:val="00DE636A"/>
    <w:rsid w:val="00DE6577"/>
    <w:rsid w:val="00DE6811"/>
    <w:rsid w:val="00DE69F9"/>
    <w:rsid w:val="00DE6C1A"/>
    <w:rsid w:val="00DE6CE0"/>
    <w:rsid w:val="00DE6D86"/>
    <w:rsid w:val="00DE6DC9"/>
    <w:rsid w:val="00DE6DF2"/>
    <w:rsid w:val="00DE6E48"/>
    <w:rsid w:val="00DE6FC1"/>
    <w:rsid w:val="00DE70F1"/>
    <w:rsid w:val="00DE7119"/>
    <w:rsid w:val="00DE7598"/>
    <w:rsid w:val="00DE764B"/>
    <w:rsid w:val="00DE77D0"/>
    <w:rsid w:val="00DE787A"/>
    <w:rsid w:val="00DE78EF"/>
    <w:rsid w:val="00DE7971"/>
    <w:rsid w:val="00DE7B24"/>
    <w:rsid w:val="00DE7BDB"/>
    <w:rsid w:val="00DE7BF0"/>
    <w:rsid w:val="00DE7F15"/>
    <w:rsid w:val="00DE7F82"/>
    <w:rsid w:val="00DE7FE1"/>
    <w:rsid w:val="00DF0155"/>
    <w:rsid w:val="00DF01F4"/>
    <w:rsid w:val="00DF02CF"/>
    <w:rsid w:val="00DF03E8"/>
    <w:rsid w:val="00DF06C7"/>
    <w:rsid w:val="00DF072C"/>
    <w:rsid w:val="00DF0733"/>
    <w:rsid w:val="00DF0862"/>
    <w:rsid w:val="00DF0877"/>
    <w:rsid w:val="00DF08D1"/>
    <w:rsid w:val="00DF094F"/>
    <w:rsid w:val="00DF0961"/>
    <w:rsid w:val="00DF0B28"/>
    <w:rsid w:val="00DF0D76"/>
    <w:rsid w:val="00DF0EFD"/>
    <w:rsid w:val="00DF104A"/>
    <w:rsid w:val="00DF1170"/>
    <w:rsid w:val="00DF1219"/>
    <w:rsid w:val="00DF12CA"/>
    <w:rsid w:val="00DF132F"/>
    <w:rsid w:val="00DF18CB"/>
    <w:rsid w:val="00DF18D3"/>
    <w:rsid w:val="00DF18EF"/>
    <w:rsid w:val="00DF1978"/>
    <w:rsid w:val="00DF19B0"/>
    <w:rsid w:val="00DF1B6B"/>
    <w:rsid w:val="00DF1C17"/>
    <w:rsid w:val="00DF1D01"/>
    <w:rsid w:val="00DF1D56"/>
    <w:rsid w:val="00DF1D66"/>
    <w:rsid w:val="00DF1DFB"/>
    <w:rsid w:val="00DF1E02"/>
    <w:rsid w:val="00DF1E7D"/>
    <w:rsid w:val="00DF2003"/>
    <w:rsid w:val="00DF2247"/>
    <w:rsid w:val="00DF2258"/>
    <w:rsid w:val="00DF22DB"/>
    <w:rsid w:val="00DF25AB"/>
    <w:rsid w:val="00DF25C6"/>
    <w:rsid w:val="00DF2681"/>
    <w:rsid w:val="00DF26C8"/>
    <w:rsid w:val="00DF2943"/>
    <w:rsid w:val="00DF2A04"/>
    <w:rsid w:val="00DF2AAD"/>
    <w:rsid w:val="00DF2E54"/>
    <w:rsid w:val="00DF2FD0"/>
    <w:rsid w:val="00DF2FD7"/>
    <w:rsid w:val="00DF32BD"/>
    <w:rsid w:val="00DF347F"/>
    <w:rsid w:val="00DF3662"/>
    <w:rsid w:val="00DF374F"/>
    <w:rsid w:val="00DF376A"/>
    <w:rsid w:val="00DF3884"/>
    <w:rsid w:val="00DF39C3"/>
    <w:rsid w:val="00DF3B6C"/>
    <w:rsid w:val="00DF3DAB"/>
    <w:rsid w:val="00DF3F75"/>
    <w:rsid w:val="00DF4222"/>
    <w:rsid w:val="00DF43C8"/>
    <w:rsid w:val="00DF444D"/>
    <w:rsid w:val="00DF476C"/>
    <w:rsid w:val="00DF47AA"/>
    <w:rsid w:val="00DF484F"/>
    <w:rsid w:val="00DF4873"/>
    <w:rsid w:val="00DF49FD"/>
    <w:rsid w:val="00DF4A78"/>
    <w:rsid w:val="00DF4A92"/>
    <w:rsid w:val="00DF4CBA"/>
    <w:rsid w:val="00DF4D12"/>
    <w:rsid w:val="00DF4D41"/>
    <w:rsid w:val="00DF4F2F"/>
    <w:rsid w:val="00DF4F44"/>
    <w:rsid w:val="00DF5045"/>
    <w:rsid w:val="00DF504A"/>
    <w:rsid w:val="00DF5108"/>
    <w:rsid w:val="00DF5145"/>
    <w:rsid w:val="00DF5203"/>
    <w:rsid w:val="00DF52A0"/>
    <w:rsid w:val="00DF53BC"/>
    <w:rsid w:val="00DF5617"/>
    <w:rsid w:val="00DF56F2"/>
    <w:rsid w:val="00DF5713"/>
    <w:rsid w:val="00DF5919"/>
    <w:rsid w:val="00DF59D7"/>
    <w:rsid w:val="00DF5A21"/>
    <w:rsid w:val="00DF5B7B"/>
    <w:rsid w:val="00DF5C36"/>
    <w:rsid w:val="00DF5D52"/>
    <w:rsid w:val="00DF5DE1"/>
    <w:rsid w:val="00DF5EFD"/>
    <w:rsid w:val="00DF5F54"/>
    <w:rsid w:val="00DF5F60"/>
    <w:rsid w:val="00DF5FA0"/>
    <w:rsid w:val="00DF5FD4"/>
    <w:rsid w:val="00DF6084"/>
    <w:rsid w:val="00DF61FE"/>
    <w:rsid w:val="00DF6234"/>
    <w:rsid w:val="00DF630B"/>
    <w:rsid w:val="00DF63AA"/>
    <w:rsid w:val="00DF6414"/>
    <w:rsid w:val="00DF64A2"/>
    <w:rsid w:val="00DF65BF"/>
    <w:rsid w:val="00DF664A"/>
    <w:rsid w:val="00DF672D"/>
    <w:rsid w:val="00DF6950"/>
    <w:rsid w:val="00DF6963"/>
    <w:rsid w:val="00DF698B"/>
    <w:rsid w:val="00DF69D5"/>
    <w:rsid w:val="00DF6A5A"/>
    <w:rsid w:val="00DF6AA9"/>
    <w:rsid w:val="00DF6B40"/>
    <w:rsid w:val="00DF6CBA"/>
    <w:rsid w:val="00DF6CF8"/>
    <w:rsid w:val="00DF6E5D"/>
    <w:rsid w:val="00DF6EFE"/>
    <w:rsid w:val="00DF6F61"/>
    <w:rsid w:val="00DF7062"/>
    <w:rsid w:val="00DF7133"/>
    <w:rsid w:val="00DF713B"/>
    <w:rsid w:val="00DF7166"/>
    <w:rsid w:val="00DF7227"/>
    <w:rsid w:val="00DF7388"/>
    <w:rsid w:val="00DF76B6"/>
    <w:rsid w:val="00DF778C"/>
    <w:rsid w:val="00DF7887"/>
    <w:rsid w:val="00DF78DD"/>
    <w:rsid w:val="00DF7908"/>
    <w:rsid w:val="00DF7A6A"/>
    <w:rsid w:val="00DF7A75"/>
    <w:rsid w:val="00DF7B08"/>
    <w:rsid w:val="00DF7C9E"/>
    <w:rsid w:val="00DF7CA8"/>
    <w:rsid w:val="00DF7D07"/>
    <w:rsid w:val="00DF7D5A"/>
    <w:rsid w:val="00DF7D93"/>
    <w:rsid w:val="00DF7D94"/>
    <w:rsid w:val="00E00015"/>
    <w:rsid w:val="00E00074"/>
    <w:rsid w:val="00E000D6"/>
    <w:rsid w:val="00E001F5"/>
    <w:rsid w:val="00E0021A"/>
    <w:rsid w:val="00E003A6"/>
    <w:rsid w:val="00E003FC"/>
    <w:rsid w:val="00E004A6"/>
    <w:rsid w:val="00E0058A"/>
    <w:rsid w:val="00E0062D"/>
    <w:rsid w:val="00E00738"/>
    <w:rsid w:val="00E0078D"/>
    <w:rsid w:val="00E00879"/>
    <w:rsid w:val="00E00969"/>
    <w:rsid w:val="00E00B5E"/>
    <w:rsid w:val="00E00B9A"/>
    <w:rsid w:val="00E00D00"/>
    <w:rsid w:val="00E00D03"/>
    <w:rsid w:val="00E00DD0"/>
    <w:rsid w:val="00E00EC8"/>
    <w:rsid w:val="00E00F58"/>
    <w:rsid w:val="00E00F85"/>
    <w:rsid w:val="00E01300"/>
    <w:rsid w:val="00E0154D"/>
    <w:rsid w:val="00E01568"/>
    <w:rsid w:val="00E015D6"/>
    <w:rsid w:val="00E0167E"/>
    <w:rsid w:val="00E01689"/>
    <w:rsid w:val="00E016F3"/>
    <w:rsid w:val="00E017E1"/>
    <w:rsid w:val="00E01917"/>
    <w:rsid w:val="00E01AB8"/>
    <w:rsid w:val="00E01B52"/>
    <w:rsid w:val="00E01BB7"/>
    <w:rsid w:val="00E01D25"/>
    <w:rsid w:val="00E01DA6"/>
    <w:rsid w:val="00E01DC9"/>
    <w:rsid w:val="00E01DDB"/>
    <w:rsid w:val="00E01E31"/>
    <w:rsid w:val="00E01FD4"/>
    <w:rsid w:val="00E0202C"/>
    <w:rsid w:val="00E0218A"/>
    <w:rsid w:val="00E02281"/>
    <w:rsid w:val="00E02330"/>
    <w:rsid w:val="00E02546"/>
    <w:rsid w:val="00E02569"/>
    <w:rsid w:val="00E025C4"/>
    <w:rsid w:val="00E0265B"/>
    <w:rsid w:val="00E027B6"/>
    <w:rsid w:val="00E027BC"/>
    <w:rsid w:val="00E029A5"/>
    <w:rsid w:val="00E029B0"/>
    <w:rsid w:val="00E02A63"/>
    <w:rsid w:val="00E02D51"/>
    <w:rsid w:val="00E02D6D"/>
    <w:rsid w:val="00E02F6A"/>
    <w:rsid w:val="00E03039"/>
    <w:rsid w:val="00E0305E"/>
    <w:rsid w:val="00E0309B"/>
    <w:rsid w:val="00E031D2"/>
    <w:rsid w:val="00E033BF"/>
    <w:rsid w:val="00E03462"/>
    <w:rsid w:val="00E03491"/>
    <w:rsid w:val="00E034E8"/>
    <w:rsid w:val="00E03634"/>
    <w:rsid w:val="00E0369B"/>
    <w:rsid w:val="00E036A1"/>
    <w:rsid w:val="00E036DD"/>
    <w:rsid w:val="00E039B7"/>
    <w:rsid w:val="00E03A3A"/>
    <w:rsid w:val="00E03DED"/>
    <w:rsid w:val="00E04050"/>
    <w:rsid w:val="00E040B1"/>
    <w:rsid w:val="00E04131"/>
    <w:rsid w:val="00E041CA"/>
    <w:rsid w:val="00E041E4"/>
    <w:rsid w:val="00E04333"/>
    <w:rsid w:val="00E0441F"/>
    <w:rsid w:val="00E04509"/>
    <w:rsid w:val="00E04582"/>
    <w:rsid w:val="00E045B4"/>
    <w:rsid w:val="00E04661"/>
    <w:rsid w:val="00E04914"/>
    <w:rsid w:val="00E04AA7"/>
    <w:rsid w:val="00E04B13"/>
    <w:rsid w:val="00E04BE5"/>
    <w:rsid w:val="00E04CAF"/>
    <w:rsid w:val="00E04D43"/>
    <w:rsid w:val="00E04DE2"/>
    <w:rsid w:val="00E05082"/>
    <w:rsid w:val="00E051CC"/>
    <w:rsid w:val="00E052C5"/>
    <w:rsid w:val="00E054DA"/>
    <w:rsid w:val="00E055A4"/>
    <w:rsid w:val="00E055C2"/>
    <w:rsid w:val="00E057DF"/>
    <w:rsid w:val="00E05927"/>
    <w:rsid w:val="00E05DB9"/>
    <w:rsid w:val="00E05DDE"/>
    <w:rsid w:val="00E05E1E"/>
    <w:rsid w:val="00E0606A"/>
    <w:rsid w:val="00E062B5"/>
    <w:rsid w:val="00E06347"/>
    <w:rsid w:val="00E06407"/>
    <w:rsid w:val="00E064E8"/>
    <w:rsid w:val="00E0655E"/>
    <w:rsid w:val="00E0660F"/>
    <w:rsid w:val="00E06872"/>
    <w:rsid w:val="00E06901"/>
    <w:rsid w:val="00E06CD3"/>
    <w:rsid w:val="00E06CF7"/>
    <w:rsid w:val="00E06D2C"/>
    <w:rsid w:val="00E06E59"/>
    <w:rsid w:val="00E06FA3"/>
    <w:rsid w:val="00E06FA5"/>
    <w:rsid w:val="00E06FFF"/>
    <w:rsid w:val="00E07234"/>
    <w:rsid w:val="00E074AD"/>
    <w:rsid w:val="00E07685"/>
    <w:rsid w:val="00E077A4"/>
    <w:rsid w:val="00E0780D"/>
    <w:rsid w:val="00E0799C"/>
    <w:rsid w:val="00E079EA"/>
    <w:rsid w:val="00E07B4C"/>
    <w:rsid w:val="00E07C73"/>
    <w:rsid w:val="00E07C80"/>
    <w:rsid w:val="00E07DC4"/>
    <w:rsid w:val="00E07EFD"/>
    <w:rsid w:val="00E07FDB"/>
    <w:rsid w:val="00E10031"/>
    <w:rsid w:val="00E10069"/>
    <w:rsid w:val="00E101C6"/>
    <w:rsid w:val="00E10212"/>
    <w:rsid w:val="00E1023B"/>
    <w:rsid w:val="00E10252"/>
    <w:rsid w:val="00E10276"/>
    <w:rsid w:val="00E1027B"/>
    <w:rsid w:val="00E103AB"/>
    <w:rsid w:val="00E103BE"/>
    <w:rsid w:val="00E10405"/>
    <w:rsid w:val="00E104D6"/>
    <w:rsid w:val="00E108F0"/>
    <w:rsid w:val="00E109C8"/>
    <w:rsid w:val="00E10A82"/>
    <w:rsid w:val="00E10AA3"/>
    <w:rsid w:val="00E10C89"/>
    <w:rsid w:val="00E10D18"/>
    <w:rsid w:val="00E10E0C"/>
    <w:rsid w:val="00E10E9A"/>
    <w:rsid w:val="00E11061"/>
    <w:rsid w:val="00E110FD"/>
    <w:rsid w:val="00E11182"/>
    <w:rsid w:val="00E1124B"/>
    <w:rsid w:val="00E112AB"/>
    <w:rsid w:val="00E11316"/>
    <w:rsid w:val="00E1138D"/>
    <w:rsid w:val="00E11645"/>
    <w:rsid w:val="00E118BD"/>
    <w:rsid w:val="00E11985"/>
    <w:rsid w:val="00E11A24"/>
    <w:rsid w:val="00E11B08"/>
    <w:rsid w:val="00E11B86"/>
    <w:rsid w:val="00E11BC9"/>
    <w:rsid w:val="00E11C11"/>
    <w:rsid w:val="00E11C1B"/>
    <w:rsid w:val="00E11D82"/>
    <w:rsid w:val="00E11DA2"/>
    <w:rsid w:val="00E11F5C"/>
    <w:rsid w:val="00E11FFA"/>
    <w:rsid w:val="00E1214F"/>
    <w:rsid w:val="00E12169"/>
    <w:rsid w:val="00E121E2"/>
    <w:rsid w:val="00E1224A"/>
    <w:rsid w:val="00E12485"/>
    <w:rsid w:val="00E12580"/>
    <w:rsid w:val="00E12597"/>
    <w:rsid w:val="00E12716"/>
    <w:rsid w:val="00E1272C"/>
    <w:rsid w:val="00E12A97"/>
    <w:rsid w:val="00E12BE1"/>
    <w:rsid w:val="00E12C3B"/>
    <w:rsid w:val="00E12CA9"/>
    <w:rsid w:val="00E12D9B"/>
    <w:rsid w:val="00E12E0A"/>
    <w:rsid w:val="00E12F06"/>
    <w:rsid w:val="00E12F6E"/>
    <w:rsid w:val="00E1304C"/>
    <w:rsid w:val="00E1308E"/>
    <w:rsid w:val="00E13130"/>
    <w:rsid w:val="00E13172"/>
    <w:rsid w:val="00E13270"/>
    <w:rsid w:val="00E13300"/>
    <w:rsid w:val="00E13342"/>
    <w:rsid w:val="00E133BB"/>
    <w:rsid w:val="00E135B8"/>
    <w:rsid w:val="00E1392C"/>
    <w:rsid w:val="00E13A81"/>
    <w:rsid w:val="00E13AF7"/>
    <w:rsid w:val="00E13B07"/>
    <w:rsid w:val="00E13B85"/>
    <w:rsid w:val="00E13C49"/>
    <w:rsid w:val="00E13C9F"/>
    <w:rsid w:val="00E13D70"/>
    <w:rsid w:val="00E13DB2"/>
    <w:rsid w:val="00E13DCD"/>
    <w:rsid w:val="00E13E7F"/>
    <w:rsid w:val="00E140F7"/>
    <w:rsid w:val="00E1410A"/>
    <w:rsid w:val="00E14252"/>
    <w:rsid w:val="00E142F7"/>
    <w:rsid w:val="00E1434A"/>
    <w:rsid w:val="00E14548"/>
    <w:rsid w:val="00E14641"/>
    <w:rsid w:val="00E146C3"/>
    <w:rsid w:val="00E146EA"/>
    <w:rsid w:val="00E14A4F"/>
    <w:rsid w:val="00E14B6F"/>
    <w:rsid w:val="00E14CE6"/>
    <w:rsid w:val="00E14D12"/>
    <w:rsid w:val="00E14D2C"/>
    <w:rsid w:val="00E14E97"/>
    <w:rsid w:val="00E14EEE"/>
    <w:rsid w:val="00E14F0D"/>
    <w:rsid w:val="00E14FC1"/>
    <w:rsid w:val="00E1506D"/>
    <w:rsid w:val="00E15342"/>
    <w:rsid w:val="00E1534E"/>
    <w:rsid w:val="00E153D8"/>
    <w:rsid w:val="00E1566F"/>
    <w:rsid w:val="00E156F8"/>
    <w:rsid w:val="00E158A6"/>
    <w:rsid w:val="00E15C07"/>
    <w:rsid w:val="00E15C16"/>
    <w:rsid w:val="00E15C4D"/>
    <w:rsid w:val="00E15E75"/>
    <w:rsid w:val="00E15E94"/>
    <w:rsid w:val="00E15F84"/>
    <w:rsid w:val="00E15FAB"/>
    <w:rsid w:val="00E161FB"/>
    <w:rsid w:val="00E1632D"/>
    <w:rsid w:val="00E16345"/>
    <w:rsid w:val="00E163CB"/>
    <w:rsid w:val="00E166BE"/>
    <w:rsid w:val="00E16861"/>
    <w:rsid w:val="00E16967"/>
    <w:rsid w:val="00E16A64"/>
    <w:rsid w:val="00E16D82"/>
    <w:rsid w:val="00E16E59"/>
    <w:rsid w:val="00E16E64"/>
    <w:rsid w:val="00E16EA1"/>
    <w:rsid w:val="00E17129"/>
    <w:rsid w:val="00E1724C"/>
    <w:rsid w:val="00E173E4"/>
    <w:rsid w:val="00E1748E"/>
    <w:rsid w:val="00E174AB"/>
    <w:rsid w:val="00E174C3"/>
    <w:rsid w:val="00E176F9"/>
    <w:rsid w:val="00E17878"/>
    <w:rsid w:val="00E178B1"/>
    <w:rsid w:val="00E178FE"/>
    <w:rsid w:val="00E1796D"/>
    <w:rsid w:val="00E17978"/>
    <w:rsid w:val="00E17995"/>
    <w:rsid w:val="00E1799C"/>
    <w:rsid w:val="00E17A7D"/>
    <w:rsid w:val="00E17D54"/>
    <w:rsid w:val="00E17D78"/>
    <w:rsid w:val="00E17D96"/>
    <w:rsid w:val="00E17F4B"/>
    <w:rsid w:val="00E17FBB"/>
    <w:rsid w:val="00E2003F"/>
    <w:rsid w:val="00E2013B"/>
    <w:rsid w:val="00E20171"/>
    <w:rsid w:val="00E20290"/>
    <w:rsid w:val="00E20549"/>
    <w:rsid w:val="00E205B8"/>
    <w:rsid w:val="00E20818"/>
    <w:rsid w:val="00E209FC"/>
    <w:rsid w:val="00E20A0F"/>
    <w:rsid w:val="00E20A90"/>
    <w:rsid w:val="00E20B6B"/>
    <w:rsid w:val="00E20C2B"/>
    <w:rsid w:val="00E20CEF"/>
    <w:rsid w:val="00E20D31"/>
    <w:rsid w:val="00E20E2A"/>
    <w:rsid w:val="00E21000"/>
    <w:rsid w:val="00E21100"/>
    <w:rsid w:val="00E211A7"/>
    <w:rsid w:val="00E21473"/>
    <w:rsid w:val="00E2149E"/>
    <w:rsid w:val="00E2165C"/>
    <w:rsid w:val="00E216E9"/>
    <w:rsid w:val="00E2173C"/>
    <w:rsid w:val="00E2179E"/>
    <w:rsid w:val="00E217DA"/>
    <w:rsid w:val="00E2186D"/>
    <w:rsid w:val="00E2188B"/>
    <w:rsid w:val="00E2194A"/>
    <w:rsid w:val="00E219D0"/>
    <w:rsid w:val="00E21A15"/>
    <w:rsid w:val="00E21A8F"/>
    <w:rsid w:val="00E21B12"/>
    <w:rsid w:val="00E21B35"/>
    <w:rsid w:val="00E21BAC"/>
    <w:rsid w:val="00E21CAF"/>
    <w:rsid w:val="00E21CEB"/>
    <w:rsid w:val="00E21D06"/>
    <w:rsid w:val="00E21D48"/>
    <w:rsid w:val="00E21DBF"/>
    <w:rsid w:val="00E21E08"/>
    <w:rsid w:val="00E220C9"/>
    <w:rsid w:val="00E221C1"/>
    <w:rsid w:val="00E221DF"/>
    <w:rsid w:val="00E22286"/>
    <w:rsid w:val="00E222DA"/>
    <w:rsid w:val="00E2231B"/>
    <w:rsid w:val="00E223B4"/>
    <w:rsid w:val="00E22517"/>
    <w:rsid w:val="00E2253B"/>
    <w:rsid w:val="00E225ED"/>
    <w:rsid w:val="00E227FA"/>
    <w:rsid w:val="00E22840"/>
    <w:rsid w:val="00E22853"/>
    <w:rsid w:val="00E2294A"/>
    <w:rsid w:val="00E22AB1"/>
    <w:rsid w:val="00E22C0D"/>
    <w:rsid w:val="00E22C62"/>
    <w:rsid w:val="00E22C9E"/>
    <w:rsid w:val="00E22CB0"/>
    <w:rsid w:val="00E22D51"/>
    <w:rsid w:val="00E22D96"/>
    <w:rsid w:val="00E2302D"/>
    <w:rsid w:val="00E2305F"/>
    <w:rsid w:val="00E230F6"/>
    <w:rsid w:val="00E23101"/>
    <w:rsid w:val="00E23173"/>
    <w:rsid w:val="00E232AB"/>
    <w:rsid w:val="00E232E7"/>
    <w:rsid w:val="00E2332B"/>
    <w:rsid w:val="00E23376"/>
    <w:rsid w:val="00E233C1"/>
    <w:rsid w:val="00E23569"/>
    <w:rsid w:val="00E2397B"/>
    <w:rsid w:val="00E239F1"/>
    <w:rsid w:val="00E23A04"/>
    <w:rsid w:val="00E23A6F"/>
    <w:rsid w:val="00E23B9F"/>
    <w:rsid w:val="00E23BAF"/>
    <w:rsid w:val="00E23D66"/>
    <w:rsid w:val="00E23D75"/>
    <w:rsid w:val="00E23E62"/>
    <w:rsid w:val="00E23EAB"/>
    <w:rsid w:val="00E23FDD"/>
    <w:rsid w:val="00E24011"/>
    <w:rsid w:val="00E240A5"/>
    <w:rsid w:val="00E241BC"/>
    <w:rsid w:val="00E2429B"/>
    <w:rsid w:val="00E24303"/>
    <w:rsid w:val="00E24323"/>
    <w:rsid w:val="00E24389"/>
    <w:rsid w:val="00E24399"/>
    <w:rsid w:val="00E2442C"/>
    <w:rsid w:val="00E24506"/>
    <w:rsid w:val="00E245D5"/>
    <w:rsid w:val="00E24737"/>
    <w:rsid w:val="00E247D5"/>
    <w:rsid w:val="00E2493A"/>
    <w:rsid w:val="00E249EB"/>
    <w:rsid w:val="00E24AB1"/>
    <w:rsid w:val="00E24AF2"/>
    <w:rsid w:val="00E24B79"/>
    <w:rsid w:val="00E24C01"/>
    <w:rsid w:val="00E24C06"/>
    <w:rsid w:val="00E24C5D"/>
    <w:rsid w:val="00E24D19"/>
    <w:rsid w:val="00E24DB4"/>
    <w:rsid w:val="00E24DC8"/>
    <w:rsid w:val="00E24DFF"/>
    <w:rsid w:val="00E24E80"/>
    <w:rsid w:val="00E25096"/>
    <w:rsid w:val="00E252C8"/>
    <w:rsid w:val="00E254C5"/>
    <w:rsid w:val="00E254CA"/>
    <w:rsid w:val="00E2553F"/>
    <w:rsid w:val="00E257A3"/>
    <w:rsid w:val="00E2586F"/>
    <w:rsid w:val="00E2592D"/>
    <w:rsid w:val="00E25BEE"/>
    <w:rsid w:val="00E25CB7"/>
    <w:rsid w:val="00E25F48"/>
    <w:rsid w:val="00E260E2"/>
    <w:rsid w:val="00E2628D"/>
    <w:rsid w:val="00E262C5"/>
    <w:rsid w:val="00E2648B"/>
    <w:rsid w:val="00E264F4"/>
    <w:rsid w:val="00E2655A"/>
    <w:rsid w:val="00E26578"/>
    <w:rsid w:val="00E2660A"/>
    <w:rsid w:val="00E26672"/>
    <w:rsid w:val="00E26778"/>
    <w:rsid w:val="00E2682E"/>
    <w:rsid w:val="00E26845"/>
    <w:rsid w:val="00E269C9"/>
    <w:rsid w:val="00E26B3E"/>
    <w:rsid w:val="00E26E5E"/>
    <w:rsid w:val="00E26F52"/>
    <w:rsid w:val="00E26FB8"/>
    <w:rsid w:val="00E26FD6"/>
    <w:rsid w:val="00E27039"/>
    <w:rsid w:val="00E2705D"/>
    <w:rsid w:val="00E2728E"/>
    <w:rsid w:val="00E272D1"/>
    <w:rsid w:val="00E272E7"/>
    <w:rsid w:val="00E27308"/>
    <w:rsid w:val="00E27470"/>
    <w:rsid w:val="00E27478"/>
    <w:rsid w:val="00E2747D"/>
    <w:rsid w:val="00E274FF"/>
    <w:rsid w:val="00E27507"/>
    <w:rsid w:val="00E275AF"/>
    <w:rsid w:val="00E276D6"/>
    <w:rsid w:val="00E2772D"/>
    <w:rsid w:val="00E2784F"/>
    <w:rsid w:val="00E2794D"/>
    <w:rsid w:val="00E27B4D"/>
    <w:rsid w:val="00E27B56"/>
    <w:rsid w:val="00E27D00"/>
    <w:rsid w:val="00E27E2A"/>
    <w:rsid w:val="00E27F6F"/>
    <w:rsid w:val="00E30132"/>
    <w:rsid w:val="00E301A9"/>
    <w:rsid w:val="00E302D0"/>
    <w:rsid w:val="00E302EA"/>
    <w:rsid w:val="00E3041D"/>
    <w:rsid w:val="00E30481"/>
    <w:rsid w:val="00E3053F"/>
    <w:rsid w:val="00E305E0"/>
    <w:rsid w:val="00E30683"/>
    <w:rsid w:val="00E306B5"/>
    <w:rsid w:val="00E306CC"/>
    <w:rsid w:val="00E3087C"/>
    <w:rsid w:val="00E30892"/>
    <w:rsid w:val="00E30973"/>
    <w:rsid w:val="00E309A7"/>
    <w:rsid w:val="00E30A5E"/>
    <w:rsid w:val="00E30AAF"/>
    <w:rsid w:val="00E30BC8"/>
    <w:rsid w:val="00E30D1B"/>
    <w:rsid w:val="00E30F0B"/>
    <w:rsid w:val="00E30F0E"/>
    <w:rsid w:val="00E3114A"/>
    <w:rsid w:val="00E31190"/>
    <w:rsid w:val="00E31228"/>
    <w:rsid w:val="00E31235"/>
    <w:rsid w:val="00E31359"/>
    <w:rsid w:val="00E31392"/>
    <w:rsid w:val="00E313FE"/>
    <w:rsid w:val="00E31417"/>
    <w:rsid w:val="00E314D6"/>
    <w:rsid w:val="00E316F7"/>
    <w:rsid w:val="00E3177D"/>
    <w:rsid w:val="00E318DF"/>
    <w:rsid w:val="00E319EB"/>
    <w:rsid w:val="00E31AD6"/>
    <w:rsid w:val="00E31B08"/>
    <w:rsid w:val="00E31B66"/>
    <w:rsid w:val="00E31B6D"/>
    <w:rsid w:val="00E31BD0"/>
    <w:rsid w:val="00E31D76"/>
    <w:rsid w:val="00E31E8E"/>
    <w:rsid w:val="00E31E9D"/>
    <w:rsid w:val="00E31F59"/>
    <w:rsid w:val="00E320CD"/>
    <w:rsid w:val="00E320D7"/>
    <w:rsid w:val="00E32267"/>
    <w:rsid w:val="00E322FA"/>
    <w:rsid w:val="00E32347"/>
    <w:rsid w:val="00E323C9"/>
    <w:rsid w:val="00E3241A"/>
    <w:rsid w:val="00E328AC"/>
    <w:rsid w:val="00E32960"/>
    <w:rsid w:val="00E32991"/>
    <w:rsid w:val="00E32B49"/>
    <w:rsid w:val="00E32DCF"/>
    <w:rsid w:val="00E32E9A"/>
    <w:rsid w:val="00E32EEF"/>
    <w:rsid w:val="00E32FF8"/>
    <w:rsid w:val="00E33000"/>
    <w:rsid w:val="00E33003"/>
    <w:rsid w:val="00E3310F"/>
    <w:rsid w:val="00E331E0"/>
    <w:rsid w:val="00E33206"/>
    <w:rsid w:val="00E3328E"/>
    <w:rsid w:val="00E33299"/>
    <w:rsid w:val="00E337D2"/>
    <w:rsid w:val="00E33823"/>
    <w:rsid w:val="00E338A1"/>
    <w:rsid w:val="00E338F4"/>
    <w:rsid w:val="00E339C1"/>
    <w:rsid w:val="00E339CC"/>
    <w:rsid w:val="00E339D8"/>
    <w:rsid w:val="00E33C1B"/>
    <w:rsid w:val="00E33CF2"/>
    <w:rsid w:val="00E33E41"/>
    <w:rsid w:val="00E33F02"/>
    <w:rsid w:val="00E33FAA"/>
    <w:rsid w:val="00E33FE1"/>
    <w:rsid w:val="00E34035"/>
    <w:rsid w:val="00E34083"/>
    <w:rsid w:val="00E34120"/>
    <w:rsid w:val="00E3416B"/>
    <w:rsid w:val="00E34259"/>
    <w:rsid w:val="00E3433B"/>
    <w:rsid w:val="00E343CC"/>
    <w:rsid w:val="00E344E9"/>
    <w:rsid w:val="00E34508"/>
    <w:rsid w:val="00E346A3"/>
    <w:rsid w:val="00E3481E"/>
    <w:rsid w:val="00E34901"/>
    <w:rsid w:val="00E349A7"/>
    <w:rsid w:val="00E34A7A"/>
    <w:rsid w:val="00E34B02"/>
    <w:rsid w:val="00E34CAE"/>
    <w:rsid w:val="00E34E90"/>
    <w:rsid w:val="00E351C3"/>
    <w:rsid w:val="00E3521A"/>
    <w:rsid w:val="00E35385"/>
    <w:rsid w:val="00E353CC"/>
    <w:rsid w:val="00E35405"/>
    <w:rsid w:val="00E3558E"/>
    <w:rsid w:val="00E35601"/>
    <w:rsid w:val="00E35603"/>
    <w:rsid w:val="00E356D6"/>
    <w:rsid w:val="00E357CC"/>
    <w:rsid w:val="00E357F8"/>
    <w:rsid w:val="00E3582B"/>
    <w:rsid w:val="00E35913"/>
    <w:rsid w:val="00E3596E"/>
    <w:rsid w:val="00E359E3"/>
    <w:rsid w:val="00E35BF0"/>
    <w:rsid w:val="00E35C10"/>
    <w:rsid w:val="00E35C65"/>
    <w:rsid w:val="00E35FAC"/>
    <w:rsid w:val="00E35FCC"/>
    <w:rsid w:val="00E360D6"/>
    <w:rsid w:val="00E364EB"/>
    <w:rsid w:val="00E36715"/>
    <w:rsid w:val="00E36877"/>
    <w:rsid w:val="00E3688C"/>
    <w:rsid w:val="00E3688F"/>
    <w:rsid w:val="00E36A55"/>
    <w:rsid w:val="00E36C91"/>
    <w:rsid w:val="00E36CEC"/>
    <w:rsid w:val="00E36D95"/>
    <w:rsid w:val="00E36EEE"/>
    <w:rsid w:val="00E370A7"/>
    <w:rsid w:val="00E370DB"/>
    <w:rsid w:val="00E371CC"/>
    <w:rsid w:val="00E37237"/>
    <w:rsid w:val="00E373B2"/>
    <w:rsid w:val="00E3741E"/>
    <w:rsid w:val="00E3745B"/>
    <w:rsid w:val="00E374F9"/>
    <w:rsid w:val="00E37567"/>
    <w:rsid w:val="00E375C0"/>
    <w:rsid w:val="00E3768A"/>
    <w:rsid w:val="00E3779D"/>
    <w:rsid w:val="00E3780E"/>
    <w:rsid w:val="00E37845"/>
    <w:rsid w:val="00E378CE"/>
    <w:rsid w:val="00E379C1"/>
    <w:rsid w:val="00E37A0C"/>
    <w:rsid w:val="00E37A23"/>
    <w:rsid w:val="00E37D07"/>
    <w:rsid w:val="00E37E58"/>
    <w:rsid w:val="00E37E8F"/>
    <w:rsid w:val="00E37EB8"/>
    <w:rsid w:val="00E37F28"/>
    <w:rsid w:val="00E40032"/>
    <w:rsid w:val="00E400EB"/>
    <w:rsid w:val="00E40110"/>
    <w:rsid w:val="00E4027B"/>
    <w:rsid w:val="00E40291"/>
    <w:rsid w:val="00E402DC"/>
    <w:rsid w:val="00E402DE"/>
    <w:rsid w:val="00E404FE"/>
    <w:rsid w:val="00E405A1"/>
    <w:rsid w:val="00E40A39"/>
    <w:rsid w:val="00E40A9A"/>
    <w:rsid w:val="00E40B25"/>
    <w:rsid w:val="00E40B4C"/>
    <w:rsid w:val="00E40DF5"/>
    <w:rsid w:val="00E40E62"/>
    <w:rsid w:val="00E40EEC"/>
    <w:rsid w:val="00E40F34"/>
    <w:rsid w:val="00E41358"/>
    <w:rsid w:val="00E4138F"/>
    <w:rsid w:val="00E413DA"/>
    <w:rsid w:val="00E413EE"/>
    <w:rsid w:val="00E415DC"/>
    <w:rsid w:val="00E4161D"/>
    <w:rsid w:val="00E41653"/>
    <w:rsid w:val="00E41656"/>
    <w:rsid w:val="00E4166B"/>
    <w:rsid w:val="00E418BC"/>
    <w:rsid w:val="00E41A51"/>
    <w:rsid w:val="00E41BE1"/>
    <w:rsid w:val="00E41CE4"/>
    <w:rsid w:val="00E41F69"/>
    <w:rsid w:val="00E4201E"/>
    <w:rsid w:val="00E42099"/>
    <w:rsid w:val="00E420B9"/>
    <w:rsid w:val="00E42164"/>
    <w:rsid w:val="00E421C2"/>
    <w:rsid w:val="00E42251"/>
    <w:rsid w:val="00E42293"/>
    <w:rsid w:val="00E42322"/>
    <w:rsid w:val="00E423D8"/>
    <w:rsid w:val="00E423DD"/>
    <w:rsid w:val="00E4240C"/>
    <w:rsid w:val="00E424EF"/>
    <w:rsid w:val="00E424F8"/>
    <w:rsid w:val="00E42528"/>
    <w:rsid w:val="00E425A0"/>
    <w:rsid w:val="00E4278C"/>
    <w:rsid w:val="00E427F2"/>
    <w:rsid w:val="00E428E9"/>
    <w:rsid w:val="00E42938"/>
    <w:rsid w:val="00E4298D"/>
    <w:rsid w:val="00E4299E"/>
    <w:rsid w:val="00E42A48"/>
    <w:rsid w:val="00E42ABE"/>
    <w:rsid w:val="00E42CC2"/>
    <w:rsid w:val="00E43086"/>
    <w:rsid w:val="00E430BF"/>
    <w:rsid w:val="00E43190"/>
    <w:rsid w:val="00E43341"/>
    <w:rsid w:val="00E43352"/>
    <w:rsid w:val="00E433B9"/>
    <w:rsid w:val="00E43474"/>
    <w:rsid w:val="00E43554"/>
    <w:rsid w:val="00E435F4"/>
    <w:rsid w:val="00E436B5"/>
    <w:rsid w:val="00E43848"/>
    <w:rsid w:val="00E438AC"/>
    <w:rsid w:val="00E438B0"/>
    <w:rsid w:val="00E438B3"/>
    <w:rsid w:val="00E439BB"/>
    <w:rsid w:val="00E439DF"/>
    <w:rsid w:val="00E43A19"/>
    <w:rsid w:val="00E43BA2"/>
    <w:rsid w:val="00E43C04"/>
    <w:rsid w:val="00E43DBF"/>
    <w:rsid w:val="00E442C3"/>
    <w:rsid w:val="00E4454E"/>
    <w:rsid w:val="00E44578"/>
    <w:rsid w:val="00E4457D"/>
    <w:rsid w:val="00E4468F"/>
    <w:rsid w:val="00E44715"/>
    <w:rsid w:val="00E44785"/>
    <w:rsid w:val="00E4485C"/>
    <w:rsid w:val="00E4488B"/>
    <w:rsid w:val="00E44A3B"/>
    <w:rsid w:val="00E44B29"/>
    <w:rsid w:val="00E44B37"/>
    <w:rsid w:val="00E44B41"/>
    <w:rsid w:val="00E44BD3"/>
    <w:rsid w:val="00E44CF2"/>
    <w:rsid w:val="00E44E13"/>
    <w:rsid w:val="00E44E95"/>
    <w:rsid w:val="00E44F12"/>
    <w:rsid w:val="00E4502B"/>
    <w:rsid w:val="00E45132"/>
    <w:rsid w:val="00E453AD"/>
    <w:rsid w:val="00E454B0"/>
    <w:rsid w:val="00E4558F"/>
    <w:rsid w:val="00E455D3"/>
    <w:rsid w:val="00E45757"/>
    <w:rsid w:val="00E4576F"/>
    <w:rsid w:val="00E45786"/>
    <w:rsid w:val="00E4595E"/>
    <w:rsid w:val="00E459A6"/>
    <w:rsid w:val="00E459B8"/>
    <w:rsid w:val="00E459CB"/>
    <w:rsid w:val="00E45AE5"/>
    <w:rsid w:val="00E45B03"/>
    <w:rsid w:val="00E45B23"/>
    <w:rsid w:val="00E45B66"/>
    <w:rsid w:val="00E45BE5"/>
    <w:rsid w:val="00E45CE8"/>
    <w:rsid w:val="00E45CF6"/>
    <w:rsid w:val="00E45E09"/>
    <w:rsid w:val="00E45E85"/>
    <w:rsid w:val="00E46048"/>
    <w:rsid w:val="00E46072"/>
    <w:rsid w:val="00E460D0"/>
    <w:rsid w:val="00E46210"/>
    <w:rsid w:val="00E462C6"/>
    <w:rsid w:val="00E462D1"/>
    <w:rsid w:val="00E46441"/>
    <w:rsid w:val="00E464BA"/>
    <w:rsid w:val="00E46640"/>
    <w:rsid w:val="00E4685B"/>
    <w:rsid w:val="00E468AF"/>
    <w:rsid w:val="00E46974"/>
    <w:rsid w:val="00E46982"/>
    <w:rsid w:val="00E46C05"/>
    <w:rsid w:val="00E46C18"/>
    <w:rsid w:val="00E46D0C"/>
    <w:rsid w:val="00E46E31"/>
    <w:rsid w:val="00E46E74"/>
    <w:rsid w:val="00E46EAD"/>
    <w:rsid w:val="00E46F71"/>
    <w:rsid w:val="00E4718B"/>
    <w:rsid w:val="00E47206"/>
    <w:rsid w:val="00E472A7"/>
    <w:rsid w:val="00E47364"/>
    <w:rsid w:val="00E4739B"/>
    <w:rsid w:val="00E473FC"/>
    <w:rsid w:val="00E4746D"/>
    <w:rsid w:val="00E476B4"/>
    <w:rsid w:val="00E47748"/>
    <w:rsid w:val="00E47830"/>
    <w:rsid w:val="00E478CF"/>
    <w:rsid w:val="00E479A7"/>
    <w:rsid w:val="00E47B1B"/>
    <w:rsid w:val="00E47BFA"/>
    <w:rsid w:val="00E47E84"/>
    <w:rsid w:val="00E47E99"/>
    <w:rsid w:val="00E502D1"/>
    <w:rsid w:val="00E502E4"/>
    <w:rsid w:val="00E50387"/>
    <w:rsid w:val="00E50405"/>
    <w:rsid w:val="00E504FF"/>
    <w:rsid w:val="00E50543"/>
    <w:rsid w:val="00E5070D"/>
    <w:rsid w:val="00E50A0F"/>
    <w:rsid w:val="00E50A3C"/>
    <w:rsid w:val="00E50A93"/>
    <w:rsid w:val="00E50AAA"/>
    <w:rsid w:val="00E50B13"/>
    <w:rsid w:val="00E50C00"/>
    <w:rsid w:val="00E50C20"/>
    <w:rsid w:val="00E50C7D"/>
    <w:rsid w:val="00E50E4F"/>
    <w:rsid w:val="00E50E7C"/>
    <w:rsid w:val="00E50F0C"/>
    <w:rsid w:val="00E5104A"/>
    <w:rsid w:val="00E5106D"/>
    <w:rsid w:val="00E51144"/>
    <w:rsid w:val="00E511D4"/>
    <w:rsid w:val="00E511DA"/>
    <w:rsid w:val="00E51279"/>
    <w:rsid w:val="00E51369"/>
    <w:rsid w:val="00E513B4"/>
    <w:rsid w:val="00E513D6"/>
    <w:rsid w:val="00E5142D"/>
    <w:rsid w:val="00E514A0"/>
    <w:rsid w:val="00E51545"/>
    <w:rsid w:val="00E51A82"/>
    <w:rsid w:val="00E51AD0"/>
    <w:rsid w:val="00E51D9E"/>
    <w:rsid w:val="00E51ED0"/>
    <w:rsid w:val="00E51EDE"/>
    <w:rsid w:val="00E51F6C"/>
    <w:rsid w:val="00E51FB8"/>
    <w:rsid w:val="00E52028"/>
    <w:rsid w:val="00E52446"/>
    <w:rsid w:val="00E524E9"/>
    <w:rsid w:val="00E5255C"/>
    <w:rsid w:val="00E52707"/>
    <w:rsid w:val="00E52864"/>
    <w:rsid w:val="00E5289C"/>
    <w:rsid w:val="00E52910"/>
    <w:rsid w:val="00E529F8"/>
    <w:rsid w:val="00E52A1E"/>
    <w:rsid w:val="00E52A8F"/>
    <w:rsid w:val="00E52B02"/>
    <w:rsid w:val="00E52B2F"/>
    <w:rsid w:val="00E52B49"/>
    <w:rsid w:val="00E52CDD"/>
    <w:rsid w:val="00E52DBF"/>
    <w:rsid w:val="00E52ED4"/>
    <w:rsid w:val="00E52FD1"/>
    <w:rsid w:val="00E531CE"/>
    <w:rsid w:val="00E531E7"/>
    <w:rsid w:val="00E532C3"/>
    <w:rsid w:val="00E53512"/>
    <w:rsid w:val="00E5353B"/>
    <w:rsid w:val="00E5359C"/>
    <w:rsid w:val="00E535F5"/>
    <w:rsid w:val="00E5365C"/>
    <w:rsid w:val="00E53725"/>
    <w:rsid w:val="00E53728"/>
    <w:rsid w:val="00E537D1"/>
    <w:rsid w:val="00E537FE"/>
    <w:rsid w:val="00E5386C"/>
    <w:rsid w:val="00E539DE"/>
    <w:rsid w:val="00E53A63"/>
    <w:rsid w:val="00E53AC0"/>
    <w:rsid w:val="00E53BBB"/>
    <w:rsid w:val="00E53BE7"/>
    <w:rsid w:val="00E53C0C"/>
    <w:rsid w:val="00E53C6B"/>
    <w:rsid w:val="00E53DA6"/>
    <w:rsid w:val="00E53EB7"/>
    <w:rsid w:val="00E53F71"/>
    <w:rsid w:val="00E54082"/>
    <w:rsid w:val="00E540F6"/>
    <w:rsid w:val="00E540FA"/>
    <w:rsid w:val="00E5424A"/>
    <w:rsid w:val="00E54273"/>
    <w:rsid w:val="00E542DD"/>
    <w:rsid w:val="00E54516"/>
    <w:rsid w:val="00E54568"/>
    <w:rsid w:val="00E54670"/>
    <w:rsid w:val="00E546BC"/>
    <w:rsid w:val="00E54707"/>
    <w:rsid w:val="00E54770"/>
    <w:rsid w:val="00E5491E"/>
    <w:rsid w:val="00E54A37"/>
    <w:rsid w:val="00E54BA7"/>
    <w:rsid w:val="00E54CE2"/>
    <w:rsid w:val="00E55017"/>
    <w:rsid w:val="00E5511B"/>
    <w:rsid w:val="00E551B1"/>
    <w:rsid w:val="00E5548F"/>
    <w:rsid w:val="00E5561C"/>
    <w:rsid w:val="00E556E9"/>
    <w:rsid w:val="00E55776"/>
    <w:rsid w:val="00E557B4"/>
    <w:rsid w:val="00E55A6C"/>
    <w:rsid w:val="00E55B67"/>
    <w:rsid w:val="00E55B85"/>
    <w:rsid w:val="00E55BC6"/>
    <w:rsid w:val="00E55DD8"/>
    <w:rsid w:val="00E55E37"/>
    <w:rsid w:val="00E55E60"/>
    <w:rsid w:val="00E55FDE"/>
    <w:rsid w:val="00E5602C"/>
    <w:rsid w:val="00E56262"/>
    <w:rsid w:val="00E5645C"/>
    <w:rsid w:val="00E564A6"/>
    <w:rsid w:val="00E564A8"/>
    <w:rsid w:val="00E564D9"/>
    <w:rsid w:val="00E5658B"/>
    <w:rsid w:val="00E56609"/>
    <w:rsid w:val="00E56764"/>
    <w:rsid w:val="00E567E6"/>
    <w:rsid w:val="00E56804"/>
    <w:rsid w:val="00E56827"/>
    <w:rsid w:val="00E56850"/>
    <w:rsid w:val="00E568B9"/>
    <w:rsid w:val="00E568BE"/>
    <w:rsid w:val="00E56928"/>
    <w:rsid w:val="00E56935"/>
    <w:rsid w:val="00E5696D"/>
    <w:rsid w:val="00E56971"/>
    <w:rsid w:val="00E56A03"/>
    <w:rsid w:val="00E56A06"/>
    <w:rsid w:val="00E56ACA"/>
    <w:rsid w:val="00E56B6E"/>
    <w:rsid w:val="00E56CF3"/>
    <w:rsid w:val="00E56D25"/>
    <w:rsid w:val="00E56EAB"/>
    <w:rsid w:val="00E56ED9"/>
    <w:rsid w:val="00E56F73"/>
    <w:rsid w:val="00E570FC"/>
    <w:rsid w:val="00E5731C"/>
    <w:rsid w:val="00E57389"/>
    <w:rsid w:val="00E57433"/>
    <w:rsid w:val="00E57468"/>
    <w:rsid w:val="00E57727"/>
    <w:rsid w:val="00E57890"/>
    <w:rsid w:val="00E5792D"/>
    <w:rsid w:val="00E5798D"/>
    <w:rsid w:val="00E57A38"/>
    <w:rsid w:val="00E57A6C"/>
    <w:rsid w:val="00E57A86"/>
    <w:rsid w:val="00E57C29"/>
    <w:rsid w:val="00E57CD8"/>
    <w:rsid w:val="00E57D28"/>
    <w:rsid w:val="00E57E57"/>
    <w:rsid w:val="00E57E82"/>
    <w:rsid w:val="00E57EAD"/>
    <w:rsid w:val="00E57F73"/>
    <w:rsid w:val="00E6005A"/>
    <w:rsid w:val="00E6021A"/>
    <w:rsid w:val="00E6021D"/>
    <w:rsid w:val="00E60325"/>
    <w:rsid w:val="00E6044B"/>
    <w:rsid w:val="00E6058F"/>
    <w:rsid w:val="00E605AC"/>
    <w:rsid w:val="00E6060F"/>
    <w:rsid w:val="00E60625"/>
    <w:rsid w:val="00E608EF"/>
    <w:rsid w:val="00E609D4"/>
    <w:rsid w:val="00E60AF3"/>
    <w:rsid w:val="00E60B72"/>
    <w:rsid w:val="00E60C0A"/>
    <w:rsid w:val="00E60E54"/>
    <w:rsid w:val="00E60E5E"/>
    <w:rsid w:val="00E60E66"/>
    <w:rsid w:val="00E60ED3"/>
    <w:rsid w:val="00E610E9"/>
    <w:rsid w:val="00E6123F"/>
    <w:rsid w:val="00E61336"/>
    <w:rsid w:val="00E6134D"/>
    <w:rsid w:val="00E613A1"/>
    <w:rsid w:val="00E61484"/>
    <w:rsid w:val="00E614E9"/>
    <w:rsid w:val="00E61504"/>
    <w:rsid w:val="00E615B8"/>
    <w:rsid w:val="00E615D7"/>
    <w:rsid w:val="00E615E2"/>
    <w:rsid w:val="00E616EC"/>
    <w:rsid w:val="00E617B0"/>
    <w:rsid w:val="00E61980"/>
    <w:rsid w:val="00E61996"/>
    <w:rsid w:val="00E61B97"/>
    <w:rsid w:val="00E61BC0"/>
    <w:rsid w:val="00E61CEE"/>
    <w:rsid w:val="00E61E59"/>
    <w:rsid w:val="00E61F1C"/>
    <w:rsid w:val="00E61F82"/>
    <w:rsid w:val="00E620F1"/>
    <w:rsid w:val="00E621C6"/>
    <w:rsid w:val="00E623B0"/>
    <w:rsid w:val="00E62454"/>
    <w:rsid w:val="00E625B0"/>
    <w:rsid w:val="00E6265C"/>
    <w:rsid w:val="00E62B44"/>
    <w:rsid w:val="00E62DC9"/>
    <w:rsid w:val="00E62FD0"/>
    <w:rsid w:val="00E6302E"/>
    <w:rsid w:val="00E6304D"/>
    <w:rsid w:val="00E63177"/>
    <w:rsid w:val="00E633CC"/>
    <w:rsid w:val="00E63456"/>
    <w:rsid w:val="00E63574"/>
    <w:rsid w:val="00E635AA"/>
    <w:rsid w:val="00E63909"/>
    <w:rsid w:val="00E63A2F"/>
    <w:rsid w:val="00E63C29"/>
    <w:rsid w:val="00E63CC9"/>
    <w:rsid w:val="00E63D2A"/>
    <w:rsid w:val="00E63D3B"/>
    <w:rsid w:val="00E63E31"/>
    <w:rsid w:val="00E63E78"/>
    <w:rsid w:val="00E63EC5"/>
    <w:rsid w:val="00E63FE8"/>
    <w:rsid w:val="00E64031"/>
    <w:rsid w:val="00E64168"/>
    <w:rsid w:val="00E64222"/>
    <w:rsid w:val="00E6428A"/>
    <w:rsid w:val="00E64482"/>
    <w:rsid w:val="00E644C3"/>
    <w:rsid w:val="00E644DB"/>
    <w:rsid w:val="00E64505"/>
    <w:rsid w:val="00E6450D"/>
    <w:rsid w:val="00E64732"/>
    <w:rsid w:val="00E6476E"/>
    <w:rsid w:val="00E6479B"/>
    <w:rsid w:val="00E6482E"/>
    <w:rsid w:val="00E64866"/>
    <w:rsid w:val="00E6487A"/>
    <w:rsid w:val="00E64B39"/>
    <w:rsid w:val="00E64BF6"/>
    <w:rsid w:val="00E64C3F"/>
    <w:rsid w:val="00E64C85"/>
    <w:rsid w:val="00E64CB6"/>
    <w:rsid w:val="00E64D43"/>
    <w:rsid w:val="00E64DF3"/>
    <w:rsid w:val="00E64F9D"/>
    <w:rsid w:val="00E651C2"/>
    <w:rsid w:val="00E65297"/>
    <w:rsid w:val="00E65352"/>
    <w:rsid w:val="00E65429"/>
    <w:rsid w:val="00E65651"/>
    <w:rsid w:val="00E6567D"/>
    <w:rsid w:val="00E657CA"/>
    <w:rsid w:val="00E65AED"/>
    <w:rsid w:val="00E65B00"/>
    <w:rsid w:val="00E65B3E"/>
    <w:rsid w:val="00E65C74"/>
    <w:rsid w:val="00E65CC2"/>
    <w:rsid w:val="00E65CF6"/>
    <w:rsid w:val="00E65DC9"/>
    <w:rsid w:val="00E65F9E"/>
    <w:rsid w:val="00E66020"/>
    <w:rsid w:val="00E660BC"/>
    <w:rsid w:val="00E6613E"/>
    <w:rsid w:val="00E661C3"/>
    <w:rsid w:val="00E662C2"/>
    <w:rsid w:val="00E66405"/>
    <w:rsid w:val="00E6644C"/>
    <w:rsid w:val="00E66550"/>
    <w:rsid w:val="00E666D8"/>
    <w:rsid w:val="00E666F7"/>
    <w:rsid w:val="00E667C2"/>
    <w:rsid w:val="00E66832"/>
    <w:rsid w:val="00E66893"/>
    <w:rsid w:val="00E668CF"/>
    <w:rsid w:val="00E66920"/>
    <w:rsid w:val="00E6692B"/>
    <w:rsid w:val="00E66BEB"/>
    <w:rsid w:val="00E66C71"/>
    <w:rsid w:val="00E66C8E"/>
    <w:rsid w:val="00E66CCC"/>
    <w:rsid w:val="00E67006"/>
    <w:rsid w:val="00E67098"/>
    <w:rsid w:val="00E670FA"/>
    <w:rsid w:val="00E67145"/>
    <w:rsid w:val="00E672C9"/>
    <w:rsid w:val="00E67374"/>
    <w:rsid w:val="00E673FD"/>
    <w:rsid w:val="00E67400"/>
    <w:rsid w:val="00E67520"/>
    <w:rsid w:val="00E67685"/>
    <w:rsid w:val="00E6768D"/>
    <w:rsid w:val="00E67A08"/>
    <w:rsid w:val="00E67CF9"/>
    <w:rsid w:val="00E67ECA"/>
    <w:rsid w:val="00E70041"/>
    <w:rsid w:val="00E7017C"/>
    <w:rsid w:val="00E701F6"/>
    <w:rsid w:val="00E70223"/>
    <w:rsid w:val="00E70266"/>
    <w:rsid w:val="00E702F6"/>
    <w:rsid w:val="00E70399"/>
    <w:rsid w:val="00E70469"/>
    <w:rsid w:val="00E704B9"/>
    <w:rsid w:val="00E70548"/>
    <w:rsid w:val="00E705C5"/>
    <w:rsid w:val="00E70853"/>
    <w:rsid w:val="00E7093B"/>
    <w:rsid w:val="00E709D8"/>
    <w:rsid w:val="00E70A8E"/>
    <w:rsid w:val="00E70B49"/>
    <w:rsid w:val="00E70B5E"/>
    <w:rsid w:val="00E70B6A"/>
    <w:rsid w:val="00E70C64"/>
    <w:rsid w:val="00E70C8F"/>
    <w:rsid w:val="00E70CA4"/>
    <w:rsid w:val="00E70D12"/>
    <w:rsid w:val="00E70DAC"/>
    <w:rsid w:val="00E70EA0"/>
    <w:rsid w:val="00E70FC8"/>
    <w:rsid w:val="00E710E0"/>
    <w:rsid w:val="00E711D7"/>
    <w:rsid w:val="00E71216"/>
    <w:rsid w:val="00E71280"/>
    <w:rsid w:val="00E71429"/>
    <w:rsid w:val="00E7145E"/>
    <w:rsid w:val="00E71910"/>
    <w:rsid w:val="00E719DF"/>
    <w:rsid w:val="00E71A35"/>
    <w:rsid w:val="00E71A3E"/>
    <w:rsid w:val="00E71A46"/>
    <w:rsid w:val="00E71BAD"/>
    <w:rsid w:val="00E71CB5"/>
    <w:rsid w:val="00E71E42"/>
    <w:rsid w:val="00E71F65"/>
    <w:rsid w:val="00E7226F"/>
    <w:rsid w:val="00E7240A"/>
    <w:rsid w:val="00E72422"/>
    <w:rsid w:val="00E72738"/>
    <w:rsid w:val="00E7277B"/>
    <w:rsid w:val="00E727B1"/>
    <w:rsid w:val="00E72878"/>
    <w:rsid w:val="00E728D8"/>
    <w:rsid w:val="00E7297A"/>
    <w:rsid w:val="00E72B30"/>
    <w:rsid w:val="00E72C3F"/>
    <w:rsid w:val="00E72C42"/>
    <w:rsid w:val="00E72D25"/>
    <w:rsid w:val="00E72E0E"/>
    <w:rsid w:val="00E72E72"/>
    <w:rsid w:val="00E73018"/>
    <w:rsid w:val="00E73235"/>
    <w:rsid w:val="00E7353B"/>
    <w:rsid w:val="00E738D1"/>
    <w:rsid w:val="00E739CE"/>
    <w:rsid w:val="00E739D4"/>
    <w:rsid w:val="00E73A50"/>
    <w:rsid w:val="00E73B12"/>
    <w:rsid w:val="00E73B89"/>
    <w:rsid w:val="00E73BC9"/>
    <w:rsid w:val="00E73CF5"/>
    <w:rsid w:val="00E73E20"/>
    <w:rsid w:val="00E73E4E"/>
    <w:rsid w:val="00E7402A"/>
    <w:rsid w:val="00E7412E"/>
    <w:rsid w:val="00E742D7"/>
    <w:rsid w:val="00E742F4"/>
    <w:rsid w:val="00E74946"/>
    <w:rsid w:val="00E74A03"/>
    <w:rsid w:val="00E74A05"/>
    <w:rsid w:val="00E74A70"/>
    <w:rsid w:val="00E74BF8"/>
    <w:rsid w:val="00E74C41"/>
    <w:rsid w:val="00E74C9E"/>
    <w:rsid w:val="00E74CC5"/>
    <w:rsid w:val="00E74D08"/>
    <w:rsid w:val="00E74FEC"/>
    <w:rsid w:val="00E7504F"/>
    <w:rsid w:val="00E750D3"/>
    <w:rsid w:val="00E75206"/>
    <w:rsid w:val="00E75208"/>
    <w:rsid w:val="00E75351"/>
    <w:rsid w:val="00E7537A"/>
    <w:rsid w:val="00E75414"/>
    <w:rsid w:val="00E754BC"/>
    <w:rsid w:val="00E7552A"/>
    <w:rsid w:val="00E756B7"/>
    <w:rsid w:val="00E756FC"/>
    <w:rsid w:val="00E75747"/>
    <w:rsid w:val="00E75796"/>
    <w:rsid w:val="00E7591D"/>
    <w:rsid w:val="00E7596B"/>
    <w:rsid w:val="00E759D9"/>
    <w:rsid w:val="00E759DC"/>
    <w:rsid w:val="00E75A5F"/>
    <w:rsid w:val="00E75ABB"/>
    <w:rsid w:val="00E75B1D"/>
    <w:rsid w:val="00E75B91"/>
    <w:rsid w:val="00E75C00"/>
    <w:rsid w:val="00E75DE9"/>
    <w:rsid w:val="00E75E4A"/>
    <w:rsid w:val="00E75E8E"/>
    <w:rsid w:val="00E75EFE"/>
    <w:rsid w:val="00E761C3"/>
    <w:rsid w:val="00E7637D"/>
    <w:rsid w:val="00E76665"/>
    <w:rsid w:val="00E7678C"/>
    <w:rsid w:val="00E768DB"/>
    <w:rsid w:val="00E76BCA"/>
    <w:rsid w:val="00E76CCB"/>
    <w:rsid w:val="00E76DC3"/>
    <w:rsid w:val="00E76E27"/>
    <w:rsid w:val="00E7708B"/>
    <w:rsid w:val="00E775E6"/>
    <w:rsid w:val="00E77633"/>
    <w:rsid w:val="00E776B7"/>
    <w:rsid w:val="00E776CF"/>
    <w:rsid w:val="00E776E6"/>
    <w:rsid w:val="00E776EC"/>
    <w:rsid w:val="00E779B3"/>
    <w:rsid w:val="00E77A9E"/>
    <w:rsid w:val="00E77B22"/>
    <w:rsid w:val="00E77B3A"/>
    <w:rsid w:val="00E77B59"/>
    <w:rsid w:val="00E77C48"/>
    <w:rsid w:val="00E77CDB"/>
    <w:rsid w:val="00E77DB1"/>
    <w:rsid w:val="00E77EB2"/>
    <w:rsid w:val="00E77FEB"/>
    <w:rsid w:val="00E80212"/>
    <w:rsid w:val="00E8021C"/>
    <w:rsid w:val="00E80221"/>
    <w:rsid w:val="00E8030D"/>
    <w:rsid w:val="00E80438"/>
    <w:rsid w:val="00E806AE"/>
    <w:rsid w:val="00E8077B"/>
    <w:rsid w:val="00E8079E"/>
    <w:rsid w:val="00E807ED"/>
    <w:rsid w:val="00E808B8"/>
    <w:rsid w:val="00E80A00"/>
    <w:rsid w:val="00E80A1B"/>
    <w:rsid w:val="00E80BB8"/>
    <w:rsid w:val="00E80D83"/>
    <w:rsid w:val="00E80E5F"/>
    <w:rsid w:val="00E80FC4"/>
    <w:rsid w:val="00E810F9"/>
    <w:rsid w:val="00E812CF"/>
    <w:rsid w:val="00E81309"/>
    <w:rsid w:val="00E813AD"/>
    <w:rsid w:val="00E813D8"/>
    <w:rsid w:val="00E8140C"/>
    <w:rsid w:val="00E81482"/>
    <w:rsid w:val="00E8149A"/>
    <w:rsid w:val="00E81580"/>
    <w:rsid w:val="00E815E1"/>
    <w:rsid w:val="00E815EC"/>
    <w:rsid w:val="00E817FC"/>
    <w:rsid w:val="00E81820"/>
    <w:rsid w:val="00E81876"/>
    <w:rsid w:val="00E818E3"/>
    <w:rsid w:val="00E81DC7"/>
    <w:rsid w:val="00E81F39"/>
    <w:rsid w:val="00E82055"/>
    <w:rsid w:val="00E820CE"/>
    <w:rsid w:val="00E8232D"/>
    <w:rsid w:val="00E8232F"/>
    <w:rsid w:val="00E82358"/>
    <w:rsid w:val="00E8235F"/>
    <w:rsid w:val="00E82367"/>
    <w:rsid w:val="00E8237E"/>
    <w:rsid w:val="00E82473"/>
    <w:rsid w:val="00E82598"/>
    <w:rsid w:val="00E8268B"/>
    <w:rsid w:val="00E827C0"/>
    <w:rsid w:val="00E82871"/>
    <w:rsid w:val="00E828A4"/>
    <w:rsid w:val="00E828DA"/>
    <w:rsid w:val="00E829A0"/>
    <w:rsid w:val="00E829AB"/>
    <w:rsid w:val="00E82A59"/>
    <w:rsid w:val="00E82C97"/>
    <w:rsid w:val="00E82E58"/>
    <w:rsid w:val="00E82E81"/>
    <w:rsid w:val="00E82F53"/>
    <w:rsid w:val="00E82F76"/>
    <w:rsid w:val="00E8313C"/>
    <w:rsid w:val="00E83183"/>
    <w:rsid w:val="00E836A1"/>
    <w:rsid w:val="00E837CB"/>
    <w:rsid w:val="00E8388C"/>
    <w:rsid w:val="00E839FF"/>
    <w:rsid w:val="00E83AE2"/>
    <w:rsid w:val="00E83B85"/>
    <w:rsid w:val="00E83C6A"/>
    <w:rsid w:val="00E83CB2"/>
    <w:rsid w:val="00E83E5B"/>
    <w:rsid w:val="00E83F12"/>
    <w:rsid w:val="00E84401"/>
    <w:rsid w:val="00E8457F"/>
    <w:rsid w:val="00E84806"/>
    <w:rsid w:val="00E848A2"/>
    <w:rsid w:val="00E848B9"/>
    <w:rsid w:val="00E84921"/>
    <w:rsid w:val="00E849F7"/>
    <w:rsid w:val="00E84A30"/>
    <w:rsid w:val="00E84BB8"/>
    <w:rsid w:val="00E84C32"/>
    <w:rsid w:val="00E84C3E"/>
    <w:rsid w:val="00E84D7A"/>
    <w:rsid w:val="00E84F2B"/>
    <w:rsid w:val="00E85008"/>
    <w:rsid w:val="00E8508C"/>
    <w:rsid w:val="00E850CE"/>
    <w:rsid w:val="00E850FD"/>
    <w:rsid w:val="00E85109"/>
    <w:rsid w:val="00E85111"/>
    <w:rsid w:val="00E851F9"/>
    <w:rsid w:val="00E852C8"/>
    <w:rsid w:val="00E85369"/>
    <w:rsid w:val="00E853E0"/>
    <w:rsid w:val="00E8548A"/>
    <w:rsid w:val="00E856EA"/>
    <w:rsid w:val="00E85711"/>
    <w:rsid w:val="00E8587D"/>
    <w:rsid w:val="00E858FA"/>
    <w:rsid w:val="00E859A2"/>
    <w:rsid w:val="00E859E9"/>
    <w:rsid w:val="00E85A53"/>
    <w:rsid w:val="00E85B5C"/>
    <w:rsid w:val="00E85C11"/>
    <w:rsid w:val="00E85C88"/>
    <w:rsid w:val="00E85F50"/>
    <w:rsid w:val="00E86073"/>
    <w:rsid w:val="00E860DE"/>
    <w:rsid w:val="00E86162"/>
    <w:rsid w:val="00E862E9"/>
    <w:rsid w:val="00E862F8"/>
    <w:rsid w:val="00E86495"/>
    <w:rsid w:val="00E86523"/>
    <w:rsid w:val="00E865A0"/>
    <w:rsid w:val="00E86603"/>
    <w:rsid w:val="00E8663F"/>
    <w:rsid w:val="00E86686"/>
    <w:rsid w:val="00E8673F"/>
    <w:rsid w:val="00E867AB"/>
    <w:rsid w:val="00E86849"/>
    <w:rsid w:val="00E8696E"/>
    <w:rsid w:val="00E86A0A"/>
    <w:rsid w:val="00E86A3D"/>
    <w:rsid w:val="00E86A66"/>
    <w:rsid w:val="00E86B5E"/>
    <w:rsid w:val="00E86BA3"/>
    <w:rsid w:val="00E86BAE"/>
    <w:rsid w:val="00E86D09"/>
    <w:rsid w:val="00E86D41"/>
    <w:rsid w:val="00E86E3A"/>
    <w:rsid w:val="00E86ED3"/>
    <w:rsid w:val="00E86EF3"/>
    <w:rsid w:val="00E86F3F"/>
    <w:rsid w:val="00E87027"/>
    <w:rsid w:val="00E871FD"/>
    <w:rsid w:val="00E8727F"/>
    <w:rsid w:val="00E8735D"/>
    <w:rsid w:val="00E874E8"/>
    <w:rsid w:val="00E876F2"/>
    <w:rsid w:val="00E8773F"/>
    <w:rsid w:val="00E87741"/>
    <w:rsid w:val="00E8776E"/>
    <w:rsid w:val="00E87A10"/>
    <w:rsid w:val="00E87A85"/>
    <w:rsid w:val="00E87B65"/>
    <w:rsid w:val="00E87E21"/>
    <w:rsid w:val="00E87E50"/>
    <w:rsid w:val="00E87F30"/>
    <w:rsid w:val="00E87F50"/>
    <w:rsid w:val="00E87F77"/>
    <w:rsid w:val="00E90035"/>
    <w:rsid w:val="00E9008A"/>
    <w:rsid w:val="00E901A9"/>
    <w:rsid w:val="00E901F2"/>
    <w:rsid w:val="00E901FB"/>
    <w:rsid w:val="00E90214"/>
    <w:rsid w:val="00E902B0"/>
    <w:rsid w:val="00E902E8"/>
    <w:rsid w:val="00E9032B"/>
    <w:rsid w:val="00E90374"/>
    <w:rsid w:val="00E90424"/>
    <w:rsid w:val="00E90490"/>
    <w:rsid w:val="00E904DA"/>
    <w:rsid w:val="00E90595"/>
    <w:rsid w:val="00E905D2"/>
    <w:rsid w:val="00E907B9"/>
    <w:rsid w:val="00E9087B"/>
    <w:rsid w:val="00E908AA"/>
    <w:rsid w:val="00E908BD"/>
    <w:rsid w:val="00E90A92"/>
    <w:rsid w:val="00E90B13"/>
    <w:rsid w:val="00E90BCA"/>
    <w:rsid w:val="00E90CAD"/>
    <w:rsid w:val="00E90CB5"/>
    <w:rsid w:val="00E90CE3"/>
    <w:rsid w:val="00E90D37"/>
    <w:rsid w:val="00E90D3F"/>
    <w:rsid w:val="00E90D75"/>
    <w:rsid w:val="00E90EB1"/>
    <w:rsid w:val="00E90F1E"/>
    <w:rsid w:val="00E90FD8"/>
    <w:rsid w:val="00E91063"/>
    <w:rsid w:val="00E91165"/>
    <w:rsid w:val="00E912DA"/>
    <w:rsid w:val="00E9158A"/>
    <w:rsid w:val="00E916AA"/>
    <w:rsid w:val="00E916B8"/>
    <w:rsid w:val="00E9199F"/>
    <w:rsid w:val="00E91AB3"/>
    <w:rsid w:val="00E91AC0"/>
    <w:rsid w:val="00E91AD8"/>
    <w:rsid w:val="00E91D77"/>
    <w:rsid w:val="00E91DF4"/>
    <w:rsid w:val="00E91EDF"/>
    <w:rsid w:val="00E91F84"/>
    <w:rsid w:val="00E91FA7"/>
    <w:rsid w:val="00E92063"/>
    <w:rsid w:val="00E92203"/>
    <w:rsid w:val="00E922D3"/>
    <w:rsid w:val="00E9236B"/>
    <w:rsid w:val="00E923C1"/>
    <w:rsid w:val="00E92521"/>
    <w:rsid w:val="00E92686"/>
    <w:rsid w:val="00E926A6"/>
    <w:rsid w:val="00E92923"/>
    <w:rsid w:val="00E9296B"/>
    <w:rsid w:val="00E92AA3"/>
    <w:rsid w:val="00E92AE5"/>
    <w:rsid w:val="00E92B06"/>
    <w:rsid w:val="00E92B39"/>
    <w:rsid w:val="00E92B75"/>
    <w:rsid w:val="00E92F15"/>
    <w:rsid w:val="00E93014"/>
    <w:rsid w:val="00E9328E"/>
    <w:rsid w:val="00E93298"/>
    <w:rsid w:val="00E93357"/>
    <w:rsid w:val="00E9343D"/>
    <w:rsid w:val="00E9358D"/>
    <w:rsid w:val="00E935DB"/>
    <w:rsid w:val="00E9367E"/>
    <w:rsid w:val="00E938A5"/>
    <w:rsid w:val="00E938E0"/>
    <w:rsid w:val="00E93A3A"/>
    <w:rsid w:val="00E93A93"/>
    <w:rsid w:val="00E93BA6"/>
    <w:rsid w:val="00E93BC9"/>
    <w:rsid w:val="00E93C5C"/>
    <w:rsid w:val="00E93D40"/>
    <w:rsid w:val="00E93E50"/>
    <w:rsid w:val="00E9401F"/>
    <w:rsid w:val="00E940F0"/>
    <w:rsid w:val="00E9412D"/>
    <w:rsid w:val="00E9418E"/>
    <w:rsid w:val="00E942AA"/>
    <w:rsid w:val="00E943A3"/>
    <w:rsid w:val="00E944F7"/>
    <w:rsid w:val="00E945D8"/>
    <w:rsid w:val="00E946FA"/>
    <w:rsid w:val="00E94792"/>
    <w:rsid w:val="00E9487C"/>
    <w:rsid w:val="00E94D0E"/>
    <w:rsid w:val="00E94D39"/>
    <w:rsid w:val="00E94DEF"/>
    <w:rsid w:val="00E94E25"/>
    <w:rsid w:val="00E95026"/>
    <w:rsid w:val="00E95097"/>
    <w:rsid w:val="00E950D0"/>
    <w:rsid w:val="00E95225"/>
    <w:rsid w:val="00E9525A"/>
    <w:rsid w:val="00E95584"/>
    <w:rsid w:val="00E956E8"/>
    <w:rsid w:val="00E95790"/>
    <w:rsid w:val="00E957B0"/>
    <w:rsid w:val="00E95926"/>
    <w:rsid w:val="00E95B4B"/>
    <w:rsid w:val="00E95B4C"/>
    <w:rsid w:val="00E95B4D"/>
    <w:rsid w:val="00E95BA1"/>
    <w:rsid w:val="00E95CDD"/>
    <w:rsid w:val="00E95DDF"/>
    <w:rsid w:val="00E95EF5"/>
    <w:rsid w:val="00E95F56"/>
    <w:rsid w:val="00E95FE3"/>
    <w:rsid w:val="00E96029"/>
    <w:rsid w:val="00E96089"/>
    <w:rsid w:val="00E960EE"/>
    <w:rsid w:val="00E9626F"/>
    <w:rsid w:val="00E963F6"/>
    <w:rsid w:val="00E96459"/>
    <w:rsid w:val="00E9648A"/>
    <w:rsid w:val="00E96516"/>
    <w:rsid w:val="00E96528"/>
    <w:rsid w:val="00E9668E"/>
    <w:rsid w:val="00E966EB"/>
    <w:rsid w:val="00E9692B"/>
    <w:rsid w:val="00E9692E"/>
    <w:rsid w:val="00E969C4"/>
    <w:rsid w:val="00E96AB6"/>
    <w:rsid w:val="00E96BAB"/>
    <w:rsid w:val="00E96CFE"/>
    <w:rsid w:val="00E96E07"/>
    <w:rsid w:val="00E96F94"/>
    <w:rsid w:val="00E96FF7"/>
    <w:rsid w:val="00E9714E"/>
    <w:rsid w:val="00E97336"/>
    <w:rsid w:val="00E97393"/>
    <w:rsid w:val="00E974CE"/>
    <w:rsid w:val="00E97609"/>
    <w:rsid w:val="00E97710"/>
    <w:rsid w:val="00E97751"/>
    <w:rsid w:val="00E97808"/>
    <w:rsid w:val="00E978A6"/>
    <w:rsid w:val="00E97951"/>
    <w:rsid w:val="00E97AA9"/>
    <w:rsid w:val="00E97B80"/>
    <w:rsid w:val="00E97C19"/>
    <w:rsid w:val="00E97C2F"/>
    <w:rsid w:val="00E97D2B"/>
    <w:rsid w:val="00E97D37"/>
    <w:rsid w:val="00E97F40"/>
    <w:rsid w:val="00E97F61"/>
    <w:rsid w:val="00E97F88"/>
    <w:rsid w:val="00EA005C"/>
    <w:rsid w:val="00EA019C"/>
    <w:rsid w:val="00EA020C"/>
    <w:rsid w:val="00EA0277"/>
    <w:rsid w:val="00EA047A"/>
    <w:rsid w:val="00EA04CE"/>
    <w:rsid w:val="00EA0512"/>
    <w:rsid w:val="00EA053D"/>
    <w:rsid w:val="00EA0577"/>
    <w:rsid w:val="00EA05FA"/>
    <w:rsid w:val="00EA06A9"/>
    <w:rsid w:val="00EA06DD"/>
    <w:rsid w:val="00EA071C"/>
    <w:rsid w:val="00EA097C"/>
    <w:rsid w:val="00EA0B45"/>
    <w:rsid w:val="00EA0B57"/>
    <w:rsid w:val="00EA0C0B"/>
    <w:rsid w:val="00EA0D68"/>
    <w:rsid w:val="00EA0F36"/>
    <w:rsid w:val="00EA0F3B"/>
    <w:rsid w:val="00EA0FB4"/>
    <w:rsid w:val="00EA106A"/>
    <w:rsid w:val="00EA1088"/>
    <w:rsid w:val="00EA10A4"/>
    <w:rsid w:val="00EA115A"/>
    <w:rsid w:val="00EA118C"/>
    <w:rsid w:val="00EA11C3"/>
    <w:rsid w:val="00EA1252"/>
    <w:rsid w:val="00EA12BC"/>
    <w:rsid w:val="00EA1318"/>
    <w:rsid w:val="00EA154F"/>
    <w:rsid w:val="00EA15B1"/>
    <w:rsid w:val="00EA15ED"/>
    <w:rsid w:val="00EA1756"/>
    <w:rsid w:val="00EA194F"/>
    <w:rsid w:val="00EA1987"/>
    <w:rsid w:val="00EA1B91"/>
    <w:rsid w:val="00EA1C3F"/>
    <w:rsid w:val="00EA1C66"/>
    <w:rsid w:val="00EA1E02"/>
    <w:rsid w:val="00EA1E83"/>
    <w:rsid w:val="00EA1EA2"/>
    <w:rsid w:val="00EA2028"/>
    <w:rsid w:val="00EA209D"/>
    <w:rsid w:val="00EA23AC"/>
    <w:rsid w:val="00EA2573"/>
    <w:rsid w:val="00EA25F6"/>
    <w:rsid w:val="00EA264C"/>
    <w:rsid w:val="00EA269F"/>
    <w:rsid w:val="00EA271B"/>
    <w:rsid w:val="00EA27BC"/>
    <w:rsid w:val="00EA286C"/>
    <w:rsid w:val="00EA2AAF"/>
    <w:rsid w:val="00EA2E0C"/>
    <w:rsid w:val="00EA2E72"/>
    <w:rsid w:val="00EA2F1F"/>
    <w:rsid w:val="00EA2F6C"/>
    <w:rsid w:val="00EA2FF7"/>
    <w:rsid w:val="00EA30D5"/>
    <w:rsid w:val="00EA320D"/>
    <w:rsid w:val="00EA321E"/>
    <w:rsid w:val="00EA3374"/>
    <w:rsid w:val="00EA3466"/>
    <w:rsid w:val="00EA37E3"/>
    <w:rsid w:val="00EA3863"/>
    <w:rsid w:val="00EA398F"/>
    <w:rsid w:val="00EA399C"/>
    <w:rsid w:val="00EA39ED"/>
    <w:rsid w:val="00EA3AA4"/>
    <w:rsid w:val="00EA3B3F"/>
    <w:rsid w:val="00EA3B64"/>
    <w:rsid w:val="00EA3BDC"/>
    <w:rsid w:val="00EA3BDF"/>
    <w:rsid w:val="00EA3DFC"/>
    <w:rsid w:val="00EA42AC"/>
    <w:rsid w:val="00EA43BF"/>
    <w:rsid w:val="00EA4546"/>
    <w:rsid w:val="00EA45EE"/>
    <w:rsid w:val="00EA4650"/>
    <w:rsid w:val="00EA4677"/>
    <w:rsid w:val="00EA47EE"/>
    <w:rsid w:val="00EA47FA"/>
    <w:rsid w:val="00EA481E"/>
    <w:rsid w:val="00EA4A28"/>
    <w:rsid w:val="00EA4AF4"/>
    <w:rsid w:val="00EA4BC7"/>
    <w:rsid w:val="00EA4D0E"/>
    <w:rsid w:val="00EA4D67"/>
    <w:rsid w:val="00EA4EC0"/>
    <w:rsid w:val="00EA4ED7"/>
    <w:rsid w:val="00EA50AC"/>
    <w:rsid w:val="00EA5204"/>
    <w:rsid w:val="00EA5264"/>
    <w:rsid w:val="00EA5314"/>
    <w:rsid w:val="00EA5446"/>
    <w:rsid w:val="00EA5647"/>
    <w:rsid w:val="00EA566A"/>
    <w:rsid w:val="00EA56B3"/>
    <w:rsid w:val="00EA5784"/>
    <w:rsid w:val="00EA5850"/>
    <w:rsid w:val="00EA58A8"/>
    <w:rsid w:val="00EA58BC"/>
    <w:rsid w:val="00EA5A75"/>
    <w:rsid w:val="00EA5C60"/>
    <w:rsid w:val="00EA5D6A"/>
    <w:rsid w:val="00EA60D5"/>
    <w:rsid w:val="00EA6134"/>
    <w:rsid w:val="00EA6164"/>
    <w:rsid w:val="00EA61A6"/>
    <w:rsid w:val="00EA61E2"/>
    <w:rsid w:val="00EA6346"/>
    <w:rsid w:val="00EA63AC"/>
    <w:rsid w:val="00EA641B"/>
    <w:rsid w:val="00EA64A5"/>
    <w:rsid w:val="00EA64E6"/>
    <w:rsid w:val="00EA65AC"/>
    <w:rsid w:val="00EA65D4"/>
    <w:rsid w:val="00EA65DC"/>
    <w:rsid w:val="00EA65F3"/>
    <w:rsid w:val="00EA6746"/>
    <w:rsid w:val="00EA6794"/>
    <w:rsid w:val="00EA6C73"/>
    <w:rsid w:val="00EA6DBB"/>
    <w:rsid w:val="00EA6E2F"/>
    <w:rsid w:val="00EA6E45"/>
    <w:rsid w:val="00EA6E6F"/>
    <w:rsid w:val="00EA705C"/>
    <w:rsid w:val="00EA708B"/>
    <w:rsid w:val="00EA70F0"/>
    <w:rsid w:val="00EA7226"/>
    <w:rsid w:val="00EA7654"/>
    <w:rsid w:val="00EA76E9"/>
    <w:rsid w:val="00EA76F9"/>
    <w:rsid w:val="00EA772D"/>
    <w:rsid w:val="00EA779B"/>
    <w:rsid w:val="00EA7879"/>
    <w:rsid w:val="00EA7A24"/>
    <w:rsid w:val="00EA7BBD"/>
    <w:rsid w:val="00EA7C3D"/>
    <w:rsid w:val="00EA7D93"/>
    <w:rsid w:val="00EA7E0B"/>
    <w:rsid w:val="00EB00DD"/>
    <w:rsid w:val="00EB014B"/>
    <w:rsid w:val="00EB017D"/>
    <w:rsid w:val="00EB0185"/>
    <w:rsid w:val="00EB0279"/>
    <w:rsid w:val="00EB0374"/>
    <w:rsid w:val="00EB0474"/>
    <w:rsid w:val="00EB0635"/>
    <w:rsid w:val="00EB071A"/>
    <w:rsid w:val="00EB07BD"/>
    <w:rsid w:val="00EB07D4"/>
    <w:rsid w:val="00EB08D6"/>
    <w:rsid w:val="00EB0931"/>
    <w:rsid w:val="00EB095F"/>
    <w:rsid w:val="00EB0991"/>
    <w:rsid w:val="00EB0A77"/>
    <w:rsid w:val="00EB0BAA"/>
    <w:rsid w:val="00EB0BCD"/>
    <w:rsid w:val="00EB0CCB"/>
    <w:rsid w:val="00EB0D07"/>
    <w:rsid w:val="00EB0D36"/>
    <w:rsid w:val="00EB0DC2"/>
    <w:rsid w:val="00EB0E5E"/>
    <w:rsid w:val="00EB0E6C"/>
    <w:rsid w:val="00EB0EE6"/>
    <w:rsid w:val="00EB0F09"/>
    <w:rsid w:val="00EB0FAA"/>
    <w:rsid w:val="00EB1204"/>
    <w:rsid w:val="00EB1294"/>
    <w:rsid w:val="00EB1374"/>
    <w:rsid w:val="00EB15E7"/>
    <w:rsid w:val="00EB1690"/>
    <w:rsid w:val="00EB17B2"/>
    <w:rsid w:val="00EB1840"/>
    <w:rsid w:val="00EB194D"/>
    <w:rsid w:val="00EB1D41"/>
    <w:rsid w:val="00EB1D8A"/>
    <w:rsid w:val="00EB1EC7"/>
    <w:rsid w:val="00EB204B"/>
    <w:rsid w:val="00EB207B"/>
    <w:rsid w:val="00EB20BF"/>
    <w:rsid w:val="00EB222F"/>
    <w:rsid w:val="00EB22C9"/>
    <w:rsid w:val="00EB232E"/>
    <w:rsid w:val="00EB238A"/>
    <w:rsid w:val="00EB23B7"/>
    <w:rsid w:val="00EB23DB"/>
    <w:rsid w:val="00EB2416"/>
    <w:rsid w:val="00EB255A"/>
    <w:rsid w:val="00EB25A9"/>
    <w:rsid w:val="00EB25E5"/>
    <w:rsid w:val="00EB2946"/>
    <w:rsid w:val="00EB2A43"/>
    <w:rsid w:val="00EB2B31"/>
    <w:rsid w:val="00EB2B90"/>
    <w:rsid w:val="00EB2D16"/>
    <w:rsid w:val="00EB2EC9"/>
    <w:rsid w:val="00EB30F7"/>
    <w:rsid w:val="00EB31C9"/>
    <w:rsid w:val="00EB3251"/>
    <w:rsid w:val="00EB3380"/>
    <w:rsid w:val="00EB3899"/>
    <w:rsid w:val="00EB39FE"/>
    <w:rsid w:val="00EB3B3A"/>
    <w:rsid w:val="00EB3BE0"/>
    <w:rsid w:val="00EB3DAF"/>
    <w:rsid w:val="00EB3E81"/>
    <w:rsid w:val="00EB4019"/>
    <w:rsid w:val="00EB40A6"/>
    <w:rsid w:val="00EB41D6"/>
    <w:rsid w:val="00EB4582"/>
    <w:rsid w:val="00EB45CE"/>
    <w:rsid w:val="00EB4700"/>
    <w:rsid w:val="00EB477F"/>
    <w:rsid w:val="00EB4A96"/>
    <w:rsid w:val="00EB4AB1"/>
    <w:rsid w:val="00EB4AE0"/>
    <w:rsid w:val="00EB4B0B"/>
    <w:rsid w:val="00EB4D18"/>
    <w:rsid w:val="00EB4D89"/>
    <w:rsid w:val="00EB4FD7"/>
    <w:rsid w:val="00EB5262"/>
    <w:rsid w:val="00EB52B8"/>
    <w:rsid w:val="00EB52F4"/>
    <w:rsid w:val="00EB536B"/>
    <w:rsid w:val="00EB55F8"/>
    <w:rsid w:val="00EB566B"/>
    <w:rsid w:val="00EB575D"/>
    <w:rsid w:val="00EB57D7"/>
    <w:rsid w:val="00EB5983"/>
    <w:rsid w:val="00EB5D1D"/>
    <w:rsid w:val="00EB5E13"/>
    <w:rsid w:val="00EB5E4C"/>
    <w:rsid w:val="00EB5E68"/>
    <w:rsid w:val="00EB5F9B"/>
    <w:rsid w:val="00EB5FCE"/>
    <w:rsid w:val="00EB6071"/>
    <w:rsid w:val="00EB60B1"/>
    <w:rsid w:val="00EB6158"/>
    <w:rsid w:val="00EB619C"/>
    <w:rsid w:val="00EB61A0"/>
    <w:rsid w:val="00EB6352"/>
    <w:rsid w:val="00EB654A"/>
    <w:rsid w:val="00EB6763"/>
    <w:rsid w:val="00EB677C"/>
    <w:rsid w:val="00EB67AD"/>
    <w:rsid w:val="00EB6878"/>
    <w:rsid w:val="00EB687E"/>
    <w:rsid w:val="00EB6999"/>
    <w:rsid w:val="00EB6A93"/>
    <w:rsid w:val="00EB6B1D"/>
    <w:rsid w:val="00EB6CBA"/>
    <w:rsid w:val="00EB6CFC"/>
    <w:rsid w:val="00EB6D58"/>
    <w:rsid w:val="00EB6DDA"/>
    <w:rsid w:val="00EB6DE2"/>
    <w:rsid w:val="00EB6E46"/>
    <w:rsid w:val="00EB6EB9"/>
    <w:rsid w:val="00EB6EE6"/>
    <w:rsid w:val="00EB6FC4"/>
    <w:rsid w:val="00EB7166"/>
    <w:rsid w:val="00EB71EA"/>
    <w:rsid w:val="00EB72D9"/>
    <w:rsid w:val="00EB7426"/>
    <w:rsid w:val="00EB746B"/>
    <w:rsid w:val="00EB7480"/>
    <w:rsid w:val="00EB7551"/>
    <w:rsid w:val="00EB7725"/>
    <w:rsid w:val="00EB780E"/>
    <w:rsid w:val="00EB7886"/>
    <w:rsid w:val="00EB78B6"/>
    <w:rsid w:val="00EB78E6"/>
    <w:rsid w:val="00EB7A0A"/>
    <w:rsid w:val="00EB7BCB"/>
    <w:rsid w:val="00EB7C37"/>
    <w:rsid w:val="00EB7CBF"/>
    <w:rsid w:val="00EB7E67"/>
    <w:rsid w:val="00EB7FBF"/>
    <w:rsid w:val="00EC00DD"/>
    <w:rsid w:val="00EC01AE"/>
    <w:rsid w:val="00EC042B"/>
    <w:rsid w:val="00EC06EA"/>
    <w:rsid w:val="00EC07B0"/>
    <w:rsid w:val="00EC0942"/>
    <w:rsid w:val="00EC0BE7"/>
    <w:rsid w:val="00EC0C8C"/>
    <w:rsid w:val="00EC0CAA"/>
    <w:rsid w:val="00EC0DBB"/>
    <w:rsid w:val="00EC10AA"/>
    <w:rsid w:val="00EC10ED"/>
    <w:rsid w:val="00EC11A9"/>
    <w:rsid w:val="00EC12A7"/>
    <w:rsid w:val="00EC1316"/>
    <w:rsid w:val="00EC1683"/>
    <w:rsid w:val="00EC1761"/>
    <w:rsid w:val="00EC17E5"/>
    <w:rsid w:val="00EC17F5"/>
    <w:rsid w:val="00EC1949"/>
    <w:rsid w:val="00EC1A14"/>
    <w:rsid w:val="00EC1AB6"/>
    <w:rsid w:val="00EC1ACB"/>
    <w:rsid w:val="00EC1AEB"/>
    <w:rsid w:val="00EC1CE0"/>
    <w:rsid w:val="00EC1D25"/>
    <w:rsid w:val="00EC1E0A"/>
    <w:rsid w:val="00EC1E0E"/>
    <w:rsid w:val="00EC1E6C"/>
    <w:rsid w:val="00EC1EDF"/>
    <w:rsid w:val="00EC1F29"/>
    <w:rsid w:val="00EC1F2D"/>
    <w:rsid w:val="00EC1F66"/>
    <w:rsid w:val="00EC206F"/>
    <w:rsid w:val="00EC2185"/>
    <w:rsid w:val="00EC2194"/>
    <w:rsid w:val="00EC2221"/>
    <w:rsid w:val="00EC225D"/>
    <w:rsid w:val="00EC2292"/>
    <w:rsid w:val="00EC22B6"/>
    <w:rsid w:val="00EC2331"/>
    <w:rsid w:val="00EC236D"/>
    <w:rsid w:val="00EC2391"/>
    <w:rsid w:val="00EC2486"/>
    <w:rsid w:val="00EC26C4"/>
    <w:rsid w:val="00EC26EB"/>
    <w:rsid w:val="00EC273E"/>
    <w:rsid w:val="00EC27EC"/>
    <w:rsid w:val="00EC2976"/>
    <w:rsid w:val="00EC2AE0"/>
    <w:rsid w:val="00EC2BD6"/>
    <w:rsid w:val="00EC2D4C"/>
    <w:rsid w:val="00EC2F66"/>
    <w:rsid w:val="00EC2F88"/>
    <w:rsid w:val="00EC2FE9"/>
    <w:rsid w:val="00EC300F"/>
    <w:rsid w:val="00EC33BD"/>
    <w:rsid w:val="00EC34E9"/>
    <w:rsid w:val="00EC3670"/>
    <w:rsid w:val="00EC3715"/>
    <w:rsid w:val="00EC3716"/>
    <w:rsid w:val="00EC377A"/>
    <w:rsid w:val="00EC37D9"/>
    <w:rsid w:val="00EC3862"/>
    <w:rsid w:val="00EC397C"/>
    <w:rsid w:val="00EC3A75"/>
    <w:rsid w:val="00EC3B37"/>
    <w:rsid w:val="00EC3C88"/>
    <w:rsid w:val="00EC3DCF"/>
    <w:rsid w:val="00EC400D"/>
    <w:rsid w:val="00EC42FA"/>
    <w:rsid w:val="00EC4358"/>
    <w:rsid w:val="00EC440D"/>
    <w:rsid w:val="00EC45B9"/>
    <w:rsid w:val="00EC463C"/>
    <w:rsid w:val="00EC4641"/>
    <w:rsid w:val="00EC4674"/>
    <w:rsid w:val="00EC498C"/>
    <w:rsid w:val="00EC4A6F"/>
    <w:rsid w:val="00EC4BCD"/>
    <w:rsid w:val="00EC4BFB"/>
    <w:rsid w:val="00EC4C72"/>
    <w:rsid w:val="00EC4FAD"/>
    <w:rsid w:val="00EC4FEF"/>
    <w:rsid w:val="00EC504A"/>
    <w:rsid w:val="00EC50DE"/>
    <w:rsid w:val="00EC50E7"/>
    <w:rsid w:val="00EC51FF"/>
    <w:rsid w:val="00EC5392"/>
    <w:rsid w:val="00EC5432"/>
    <w:rsid w:val="00EC556D"/>
    <w:rsid w:val="00EC55F9"/>
    <w:rsid w:val="00EC5728"/>
    <w:rsid w:val="00EC5766"/>
    <w:rsid w:val="00EC5A10"/>
    <w:rsid w:val="00EC5BBE"/>
    <w:rsid w:val="00EC5C9F"/>
    <w:rsid w:val="00EC5D4C"/>
    <w:rsid w:val="00EC5EE2"/>
    <w:rsid w:val="00EC5F12"/>
    <w:rsid w:val="00EC61B2"/>
    <w:rsid w:val="00EC620F"/>
    <w:rsid w:val="00EC6284"/>
    <w:rsid w:val="00EC637C"/>
    <w:rsid w:val="00EC6384"/>
    <w:rsid w:val="00EC63DC"/>
    <w:rsid w:val="00EC6465"/>
    <w:rsid w:val="00EC654F"/>
    <w:rsid w:val="00EC675C"/>
    <w:rsid w:val="00EC6791"/>
    <w:rsid w:val="00EC6798"/>
    <w:rsid w:val="00EC67CE"/>
    <w:rsid w:val="00EC67F0"/>
    <w:rsid w:val="00EC68A1"/>
    <w:rsid w:val="00EC68B4"/>
    <w:rsid w:val="00EC68C1"/>
    <w:rsid w:val="00EC696F"/>
    <w:rsid w:val="00EC69F0"/>
    <w:rsid w:val="00EC6B16"/>
    <w:rsid w:val="00EC6B61"/>
    <w:rsid w:val="00EC6BD4"/>
    <w:rsid w:val="00EC6C69"/>
    <w:rsid w:val="00EC6C9E"/>
    <w:rsid w:val="00EC6CA8"/>
    <w:rsid w:val="00EC6CF6"/>
    <w:rsid w:val="00EC6D61"/>
    <w:rsid w:val="00EC709A"/>
    <w:rsid w:val="00EC70B0"/>
    <w:rsid w:val="00EC729A"/>
    <w:rsid w:val="00EC7345"/>
    <w:rsid w:val="00EC735B"/>
    <w:rsid w:val="00EC74A4"/>
    <w:rsid w:val="00EC7697"/>
    <w:rsid w:val="00EC76BD"/>
    <w:rsid w:val="00EC76E8"/>
    <w:rsid w:val="00EC77C7"/>
    <w:rsid w:val="00EC7896"/>
    <w:rsid w:val="00EC7A43"/>
    <w:rsid w:val="00EC7A60"/>
    <w:rsid w:val="00EC7B20"/>
    <w:rsid w:val="00EC7BCE"/>
    <w:rsid w:val="00EC7C2E"/>
    <w:rsid w:val="00EC7DE2"/>
    <w:rsid w:val="00EC7E2F"/>
    <w:rsid w:val="00ED00FC"/>
    <w:rsid w:val="00ED0305"/>
    <w:rsid w:val="00ED0389"/>
    <w:rsid w:val="00ED0393"/>
    <w:rsid w:val="00ED04AF"/>
    <w:rsid w:val="00ED0571"/>
    <w:rsid w:val="00ED0640"/>
    <w:rsid w:val="00ED06B6"/>
    <w:rsid w:val="00ED0A8E"/>
    <w:rsid w:val="00ED0ECD"/>
    <w:rsid w:val="00ED0F1F"/>
    <w:rsid w:val="00ED0F48"/>
    <w:rsid w:val="00ED103E"/>
    <w:rsid w:val="00ED1069"/>
    <w:rsid w:val="00ED10E8"/>
    <w:rsid w:val="00ED11AC"/>
    <w:rsid w:val="00ED12F7"/>
    <w:rsid w:val="00ED1326"/>
    <w:rsid w:val="00ED1616"/>
    <w:rsid w:val="00ED161D"/>
    <w:rsid w:val="00ED165C"/>
    <w:rsid w:val="00ED1750"/>
    <w:rsid w:val="00ED18B1"/>
    <w:rsid w:val="00ED1934"/>
    <w:rsid w:val="00ED19C0"/>
    <w:rsid w:val="00ED1BD9"/>
    <w:rsid w:val="00ED1E20"/>
    <w:rsid w:val="00ED1E89"/>
    <w:rsid w:val="00ED1F7E"/>
    <w:rsid w:val="00ED20B3"/>
    <w:rsid w:val="00ED20CE"/>
    <w:rsid w:val="00ED2174"/>
    <w:rsid w:val="00ED2217"/>
    <w:rsid w:val="00ED2221"/>
    <w:rsid w:val="00ED2335"/>
    <w:rsid w:val="00ED23B5"/>
    <w:rsid w:val="00ED2427"/>
    <w:rsid w:val="00ED25D4"/>
    <w:rsid w:val="00ED268B"/>
    <w:rsid w:val="00ED26F5"/>
    <w:rsid w:val="00ED27AB"/>
    <w:rsid w:val="00ED288A"/>
    <w:rsid w:val="00ED2912"/>
    <w:rsid w:val="00ED291A"/>
    <w:rsid w:val="00ED2924"/>
    <w:rsid w:val="00ED2B75"/>
    <w:rsid w:val="00ED2C0B"/>
    <w:rsid w:val="00ED2D26"/>
    <w:rsid w:val="00ED2D29"/>
    <w:rsid w:val="00ED2D2A"/>
    <w:rsid w:val="00ED2D39"/>
    <w:rsid w:val="00ED2E82"/>
    <w:rsid w:val="00ED2EEE"/>
    <w:rsid w:val="00ED2F21"/>
    <w:rsid w:val="00ED3076"/>
    <w:rsid w:val="00ED310A"/>
    <w:rsid w:val="00ED312D"/>
    <w:rsid w:val="00ED3267"/>
    <w:rsid w:val="00ED3343"/>
    <w:rsid w:val="00ED3398"/>
    <w:rsid w:val="00ED34D9"/>
    <w:rsid w:val="00ED3521"/>
    <w:rsid w:val="00ED35D9"/>
    <w:rsid w:val="00ED3773"/>
    <w:rsid w:val="00ED3B4F"/>
    <w:rsid w:val="00ED3BF7"/>
    <w:rsid w:val="00ED3C64"/>
    <w:rsid w:val="00ED3CA7"/>
    <w:rsid w:val="00ED3CFA"/>
    <w:rsid w:val="00ED3D08"/>
    <w:rsid w:val="00ED3D74"/>
    <w:rsid w:val="00ED3E66"/>
    <w:rsid w:val="00ED3E9A"/>
    <w:rsid w:val="00ED3F19"/>
    <w:rsid w:val="00ED3FBC"/>
    <w:rsid w:val="00ED41A5"/>
    <w:rsid w:val="00ED41B4"/>
    <w:rsid w:val="00ED41FE"/>
    <w:rsid w:val="00ED426F"/>
    <w:rsid w:val="00ED4331"/>
    <w:rsid w:val="00ED43C2"/>
    <w:rsid w:val="00ED4559"/>
    <w:rsid w:val="00ED4610"/>
    <w:rsid w:val="00ED46C1"/>
    <w:rsid w:val="00ED472E"/>
    <w:rsid w:val="00ED490B"/>
    <w:rsid w:val="00ED493E"/>
    <w:rsid w:val="00ED4EB6"/>
    <w:rsid w:val="00ED5009"/>
    <w:rsid w:val="00ED503E"/>
    <w:rsid w:val="00ED50E6"/>
    <w:rsid w:val="00ED5226"/>
    <w:rsid w:val="00ED5271"/>
    <w:rsid w:val="00ED5405"/>
    <w:rsid w:val="00ED5415"/>
    <w:rsid w:val="00ED55F0"/>
    <w:rsid w:val="00ED5632"/>
    <w:rsid w:val="00ED5655"/>
    <w:rsid w:val="00ED579A"/>
    <w:rsid w:val="00ED57D8"/>
    <w:rsid w:val="00ED583A"/>
    <w:rsid w:val="00ED585D"/>
    <w:rsid w:val="00ED5A20"/>
    <w:rsid w:val="00ED5B39"/>
    <w:rsid w:val="00ED5C08"/>
    <w:rsid w:val="00ED5E4E"/>
    <w:rsid w:val="00ED6030"/>
    <w:rsid w:val="00ED6121"/>
    <w:rsid w:val="00ED61BE"/>
    <w:rsid w:val="00ED61EA"/>
    <w:rsid w:val="00ED6328"/>
    <w:rsid w:val="00ED6332"/>
    <w:rsid w:val="00ED6341"/>
    <w:rsid w:val="00ED650A"/>
    <w:rsid w:val="00ED66DF"/>
    <w:rsid w:val="00ED6867"/>
    <w:rsid w:val="00ED6893"/>
    <w:rsid w:val="00ED6A82"/>
    <w:rsid w:val="00ED6AF6"/>
    <w:rsid w:val="00ED6D8A"/>
    <w:rsid w:val="00ED6DCE"/>
    <w:rsid w:val="00ED6E7B"/>
    <w:rsid w:val="00ED6EF2"/>
    <w:rsid w:val="00ED6FD6"/>
    <w:rsid w:val="00ED7067"/>
    <w:rsid w:val="00ED714A"/>
    <w:rsid w:val="00ED716D"/>
    <w:rsid w:val="00ED7239"/>
    <w:rsid w:val="00ED739D"/>
    <w:rsid w:val="00ED73EC"/>
    <w:rsid w:val="00ED7474"/>
    <w:rsid w:val="00ED7498"/>
    <w:rsid w:val="00ED7509"/>
    <w:rsid w:val="00ED75BB"/>
    <w:rsid w:val="00ED75D9"/>
    <w:rsid w:val="00ED75F0"/>
    <w:rsid w:val="00ED768A"/>
    <w:rsid w:val="00ED76BA"/>
    <w:rsid w:val="00ED76F0"/>
    <w:rsid w:val="00ED77D1"/>
    <w:rsid w:val="00ED77ED"/>
    <w:rsid w:val="00ED7A25"/>
    <w:rsid w:val="00ED7A64"/>
    <w:rsid w:val="00ED7BE1"/>
    <w:rsid w:val="00ED7DCE"/>
    <w:rsid w:val="00ED7E13"/>
    <w:rsid w:val="00ED7E25"/>
    <w:rsid w:val="00ED7F0B"/>
    <w:rsid w:val="00ED7F3B"/>
    <w:rsid w:val="00ED7FB2"/>
    <w:rsid w:val="00EE009A"/>
    <w:rsid w:val="00EE0289"/>
    <w:rsid w:val="00EE04AA"/>
    <w:rsid w:val="00EE059E"/>
    <w:rsid w:val="00EE05DC"/>
    <w:rsid w:val="00EE0681"/>
    <w:rsid w:val="00EE09D1"/>
    <w:rsid w:val="00EE0A58"/>
    <w:rsid w:val="00EE0A76"/>
    <w:rsid w:val="00EE0B33"/>
    <w:rsid w:val="00EE0E10"/>
    <w:rsid w:val="00EE0F59"/>
    <w:rsid w:val="00EE0F96"/>
    <w:rsid w:val="00EE1000"/>
    <w:rsid w:val="00EE1173"/>
    <w:rsid w:val="00EE1178"/>
    <w:rsid w:val="00EE1447"/>
    <w:rsid w:val="00EE149C"/>
    <w:rsid w:val="00EE16AD"/>
    <w:rsid w:val="00EE177C"/>
    <w:rsid w:val="00EE179E"/>
    <w:rsid w:val="00EE17F2"/>
    <w:rsid w:val="00EE182A"/>
    <w:rsid w:val="00EE184B"/>
    <w:rsid w:val="00EE19B0"/>
    <w:rsid w:val="00EE1A50"/>
    <w:rsid w:val="00EE1BF1"/>
    <w:rsid w:val="00EE1D13"/>
    <w:rsid w:val="00EE1E0D"/>
    <w:rsid w:val="00EE1F0C"/>
    <w:rsid w:val="00EE1F48"/>
    <w:rsid w:val="00EE200D"/>
    <w:rsid w:val="00EE208C"/>
    <w:rsid w:val="00EE2098"/>
    <w:rsid w:val="00EE210C"/>
    <w:rsid w:val="00EE21B2"/>
    <w:rsid w:val="00EE21B9"/>
    <w:rsid w:val="00EE2375"/>
    <w:rsid w:val="00EE23E3"/>
    <w:rsid w:val="00EE23F6"/>
    <w:rsid w:val="00EE2407"/>
    <w:rsid w:val="00EE2997"/>
    <w:rsid w:val="00EE29E4"/>
    <w:rsid w:val="00EE2A18"/>
    <w:rsid w:val="00EE2B7D"/>
    <w:rsid w:val="00EE2D99"/>
    <w:rsid w:val="00EE2EF7"/>
    <w:rsid w:val="00EE2F1F"/>
    <w:rsid w:val="00EE2F7F"/>
    <w:rsid w:val="00EE327F"/>
    <w:rsid w:val="00EE330A"/>
    <w:rsid w:val="00EE33ED"/>
    <w:rsid w:val="00EE3532"/>
    <w:rsid w:val="00EE3611"/>
    <w:rsid w:val="00EE3612"/>
    <w:rsid w:val="00EE3714"/>
    <w:rsid w:val="00EE3A85"/>
    <w:rsid w:val="00EE3AB7"/>
    <w:rsid w:val="00EE3C29"/>
    <w:rsid w:val="00EE3D65"/>
    <w:rsid w:val="00EE3E96"/>
    <w:rsid w:val="00EE4001"/>
    <w:rsid w:val="00EE40E5"/>
    <w:rsid w:val="00EE411A"/>
    <w:rsid w:val="00EE413D"/>
    <w:rsid w:val="00EE43D1"/>
    <w:rsid w:val="00EE440A"/>
    <w:rsid w:val="00EE44BB"/>
    <w:rsid w:val="00EE44DE"/>
    <w:rsid w:val="00EE4536"/>
    <w:rsid w:val="00EE45FB"/>
    <w:rsid w:val="00EE46B4"/>
    <w:rsid w:val="00EE4864"/>
    <w:rsid w:val="00EE48C0"/>
    <w:rsid w:val="00EE4B9E"/>
    <w:rsid w:val="00EE4BAF"/>
    <w:rsid w:val="00EE4C42"/>
    <w:rsid w:val="00EE4DA1"/>
    <w:rsid w:val="00EE4DDA"/>
    <w:rsid w:val="00EE4EE1"/>
    <w:rsid w:val="00EE50DF"/>
    <w:rsid w:val="00EE5239"/>
    <w:rsid w:val="00EE52EB"/>
    <w:rsid w:val="00EE5770"/>
    <w:rsid w:val="00EE5849"/>
    <w:rsid w:val="00EE5A07"/>
    <w:rsid w:val="00EE5D49"/>
    <w:rsid w:val="00EE5D78"/>
    <w:rsid w:val="00EE5DC9"/>
    <w:rsid w:val="00EE6077"/>
    <w:rsid w:val="00EE6085"/>
    <w:rsid w:val="00EE614A"/>
    <w:rsid w:val="00EE6259"/>
    <w:rsid w:val="00EE6509"/>
    <w:rsid w:val="00EE65F3"/>
    <w:rsid w:val="00EE663E"/>
    <w:rsid w:val="00EE68BB"/>
    <w:rsid w:val="00EE68EA"/>
    <w:rsid w:val="00EE6A57"/>
    <w:rsid w:val="00EE6B9A"/>
    <w:rsid w:val="00EE6BFE"/>
    <w:rsid w:val="00EE6DD2"/>
    <w:rsid w:val="00EE6F01"/>
    <w:rsid w:val="00EE712C"/>
    <w:rsid w:val="00EE71F4"/>
    <w:rsid w:val="00EE721F"/>
    <w:rsid w:val="00EE7281"/>
    <w:rsid w:val="00EE7593"/>
    <w:rsid w:val="00EE7616"/>
    <w:rsid w:val="00EE7687"/>
    <w:rsid w:val="00EE7695"/>
    <w:rsid w:val="00EE7744"/>
    <w:rsid w:val="00EE7A68"/>
    <w:rsid w:val="00EE7AC0"/>
    <w:rsid w:val="00EE7B8C"/>
    <w:rsid w:val="00EE7BD9"/>
    <w:rsid w:val="00EE7C07"/>
    <w:rsid w:val="00EE7C0E"/>
    <w:rsid w:val="00EE7D72"/>
    <w:rsid w:val="00EE7DB1"/>
    <w:rsid w:val="00EE7E1D"/>
    <w:rsid w:val="00EE7E4B"/>
    <w:rsid w:val="00EE7EDD"/>
    <w:rsid w:val="00EE7FBA"/>
    <w:rsid w:val="00EE7FE6"/>
    <w:rsid w:val="00EF004A"/>
    <w:rsid w:val="00EF0275"/>
    <w:rsid w:val="00EF03E1"/>
    <w:rsid w:val="00EF0471"/>
    <w:rsid w:val="00EF0528"/>
    <w:rsid w:val="00EF073D"/>
    <w:rsid w:val="00EF08BA"/>
    <w:rsid w:val="00EF09CB"/>
    <w:rsid w:val="00EF0B0B"/>
    <w:rsid w:val="00EF0B4F"/>
    <w:rsid w:val="00EF0C88"/>
    <w:rsid w:val="00EF0DEF"/>
    <w:rsid w:val="00EF0F76"/>
    <w:rsid w:val="00EF104E"/>
    <w:rsid w:val="00EF109A"/>
    <w:rsid w:val="00EF11FE"/>
    <w:rsid w:val="00EF127A"/>
    <w:rsid w:val="00EF12A6"/>
    <w:rsid w:val="00EF135F"/>
    <w:rsid w:val="00EF145E"/>
    <w:rsid w:val="00EF15AD"/>
    <w:rsid w:val="00EF1653"/>
    <w:rsid w:val="00EF173E"/>
    <w:rsid w:val="00EF176E"/>
    <w:rsid w:val="00EF17C9"/>
    <w:rsid w:val="00EF17EE"/>
    <w:rsid w:val="00EF180B"/>
    <w:rsid w:val="00EF1829"/>
    <w:rsid w:val="00EF1864"/>
    <w:rsid w:val="00EF18F3"/>
    <w:rsid w:val="00EF1987"/>
    <w:rsid w:val="00EF199E"/>
    <w:rsid w:val="00EF1A87"/>
    <w:rsid w:val="00EF1B9D"/>
    <w:rsid w:val="00EF1C37"/>
    <w:rsid w:val="00EF1CA4"/>
    <w:rsid w:val="00EF1CB9"/>
    <w:rsid w:val="00EF1CBE"/>
    <w:rsid w:val="00EF1CC3"/>
    <w:rsid w:val="00EF1D5B"/>
    <w:rsid w:val="00EF1DDC"/>
    <w:rsid w:val="00EF1ECA"/>
    <w:rsid w:val="00EF1F65"/>
    <w:rsid w:val="00EF2046"/>
    <w:rsid w:val="00EF2094"/>
    <w:rsid w:val="00EF22AC"/>
    <w:rsid w:val="00EF24DF"/>
    <w:rsid w:val="00EF2825"/>
    <w:rsid w:val="00EF289F"/>
    <w:rsid w:val="00EF2ABA"/>
    <w:rsid w:val="00EF2B6A"/>
    <w:rsid w:val="00EF2BB9"/>
    <w:rsid w:val="00EF2BBB"/>
    <w:rsid w:val="00EF2BBF"/>
    <w:rsid w:val="00EF2CBE"/>
    <w:rsid w:val="00EF2DAC"/>
    <w:rsid w:val="00EF2DBA"/>
    <w:rsid w:val="00EF2DD5"/>
    <w:rsid w:val="00EF2E37"/>
    <w:rsid w:val="00EF2F1E"/>
    <w:rsid w:val="00EF2FC7"/>
    <w:rsid w:val="00EF3022"/>
    <w:rsid w:val="00EF30F5"/>
    <w:rsid w:val="00EF3122"/>
    <w:rsid w:val="00EF32E7"/>
    <w:rsid w:val="00EF33A5"/>
    <w:rsid w:val="00EF33C2"/>
    <w:rsid w:val="00EF33EB"/>
    <w:rsid w:val="00EF3456"/>
    <w:rsid w:val="00EF3605"/>
    <w:rsid w:val="00EF3684"/>
    <w:rsid w:val="00EF38E3"/>
    <w:rsid w:val="00EF3958"/>
    <w:rsid w:val="00EF3B0C"/>
    <w:rsid w:val="00EF3B46"/>
    <w:rsid w:val="00EF3CC9"/>
    <w:rsid w:val="00EF3DD9"/>
    <w:rsid w:val="00EF3DE7"/>
    <w:rsid w:val="00EF3FB7"/>
    <w:rsid w:val="00EF4330"/>
    <w:rsid w:val="00EF45BE"/>
    <w:rsid w:val="00EF4632"/>
    <w:rsid w:val="00EF46BA"/>
    <w:rsid w:val="00EF46C5"/>
    <w:rsid w:val="00EF47DD"/>
    <w:rsid w:val="00EF4AA0"/>
    <w:rsid w:val="00EF4B22"/>
    <w:rsid w:val="00EF4BCB"/>
    <w:rsid w:val="00EF4CE1"/>
    <w:rsid w:val="00EF4D75"/>
    <w:rsid w:val="00EF4D79"/>
    <w:rsid w:val="00EF4E3C"/>
    <w:rsid w:val="00EF4E4C"/>
    <w:rsid w:val="00EF4E82"/>
    <w:rsid w:val="00EF4ECD"/>
    <w:rsid w:val="00EF536A"/>
    <w:rsid w:val="00EF556D"/>
    <w:rsid w:val="00EF57CB"/>
    <w:rsid w:val="00EF58AD"/>
    <w:rsid w:val="00EF599D"/>
    <w:rsid w:val="00EF5AC0"/>
    <w:rsid w:val="00EF5B01"/>
    <w:rsid w:val="00EF5D25"/>
    <w:rsid w:val="00EF5D8F"/>
    <w:rsid w:val="00EF5E32"/>
    <w:rsid w:val="00EF5F04"/>
    <w:rsid w:val="00EF5F07"/>
    <w:rsid w:val="00EF5F8F"/>
    <w:rsid w:val="00EF602E"/>
    <w:rsid w:val="00EF6128"/>
    <w:rsid w:val="00EF6226"/>
    <w:rsid w:val="00EF65D3"/>
    <w:rsid w:val="00EF67E0"/>
    <w:rsid w:val="00EF67EF"/>
    <w:rsid w:val="00EF68BB"/>
    <w:rsid w:val="00EF68D7"/>
    <w:rsid w:val="00EF6A5F"/>
    <w:rsid w:val="00EF6AEA"/>
    <w:rsid w:val="00EF6C43"/>
    <w:rsid w:val="00EF6E77"/>
    <w:rsid w:val="00EF70F4"/>
    <w:rsid w:val="00EF7127"/>
    <w:rsid w:val="00EF7251"/>
    <w:rsid w:val="00EF7276"/>
    <w:rsid w:val="00EF732A"/>
    <w:rsid w:val="00EF73A4"/>
    <w:rsid w:val="00EF73A5"/>
    <w:rsid w:val="00EF74D2"/>
    <w:rsid w:val="00EF757E"/>
    <w:rsid w:val="00EF777D"/>
    <w:rsid w:val="00EF78BA"/>
    <w:rsid w:val="00EF7901"/>
    <w:rsid w:val="00EF7A04"/>
    <w:rsid w:val="00EF7D0C"/>
    <w:rsid w:val="00EF7F3B"/>
    <w:rsid w:val="00EF7F46"/>
    <w:rsid w:val="00F00036"/>
    <w:rsid w:val="00F000FA"/>
    <w:rsid w:val="00F0011F"/>
    <w:rsid w:val="00F0034E"/>
    <w:rsid w:val="00F00352"/>
    <w:rsid w:val="00F00434"/>
    <w:rsid w:val="00F0049F"/>
    <w:rsid w:val="00F00504"/>
    <w:rsid w:val="00F00634"/>
    <w:rsid w:val="00F0082D"/>
    <w:rsid w:val="00F0094C"/>
    <w:rsid w:val="00F00A0E"/>
    <w:rsid w:val="00F00AA2"/>
    <w:rsid w:val="00F00B13"/>
    <w:rsid w:val="00F00B72"/>
    <w:rsid w:val="00F00BF4"/>
    <w:rsid w:val="00F00E24"/>
    <w:rsid w:val="00F00E2D"/>
    <w:rsid w:val="00F00FB7"/>
    <w:rsid w:val="00F010BF"/>
    <w:rsid w:val="00F010E5"/>
    <w:rsid w:val="00F010F3"/>
    <w:rsid w:val="00F01223"/>
    <w:rsid w:val="00F0123D"/>
    <w:rsid w:val="00F01307"/>
    <w:rsid w:val="00F01575"/>
    <w:rsid w:val="00F015AB"/>
    <w:rsid w:val="00F0162F"/>
    <w:rsid w:val="00F01731"/>
    <w:rsid w:val="00F01738"/>
    <w:rsid w:val="00F0198D"/>
    <w:rsid w:val="00F019A5"/>
    <w:rsid w:val="00F019DB"/>
    <w:rsid w:val="00F01AB0"/>
    <w:rsid w:val="00F01D40"/>
    <w:rsid w:val="00F02123"/>
    <w:rsid w:val="00F0215C"/>
    <w:rsid w:val="00F023DF"/>
    <w:rsid w:val="00F0267F"/>
    <w:rsid w:val="00F026A5"/>
    <w:rsid w:val="00F02793"/>
    <w:rsid w:val="00F028C2"/>
    <w:rsid w:val="00F02954"/>
    <w:rsid w:val="00F02A3E"/>
    <w:rsid w:val="00F02B70"/>
    <w:rsid w:val="00F02BBE"/>
    <w:rsid w:val="00F02C82"/>
    <w:rsid w:val="00F02C9E"/>
    <w:rsid w:val="00F02CFE"/>
    <w:rsid w:val="00F02D2E"/>
    <w:rsid w:val="00F02D47"/>
    <w:rsid w:val="00F02DA9"/>
    <w:rsid w:val="00F02DD0"/>
    <w:rsid w:val="00F02FBD"/>
    <w:rsid w:val="00F02FCF"/>
    <w:rsid w:val="00F030FC"/>
    <w:rsid w:val="00F03171"/>
    <w:rsid w:val="00F031AB"/>
    <w:rsid w:val="00F031DC"/>
    <w:rsid w:val="00F032CE"/>
    <w:rsid w:val="00F0343D"/>
    <w:rsid w:val="00F03606"/>
    <w:rsid w:val="00F036AC"/>
    <w:rsid w:val="00F0379E"/>
    <w:rsid w:val="00F039FD"/>
    <w:rsid w:val="00F039FE"/>
    <w:rsid w:val="00F03A34"/>
    <w:rsid w:val="00F03EBF"/>
    <w:rsid w:val="00F03ECF"/>
    <w:rsid w:val="00F03F5E"/>
    <w:rsid w:val="00F0412A"/>
    <w:rsid w:val="00F0417F"/>
    <w:rsid w:val="00F0419A"/>
    <w:rsid w:val="00F0453A"/>
    <w:rsid w:val="00F045E0"/>
    <w:rsid w:val="00F045E1"/>
    <w:rsid w:val="00F0473D"/>
    <w:rsid w:val="00F04834"/>
    <w:rsid w:val="00F0483B"/>
    <w:rsid w:val="00F04AF9"/>
    <w:rsid w:val="00F04B70"/>
    <w:rsid w:val="00F04B88"/>
    <w:rsid w:val="00F04D89"/>
    <w:rsid w:val="00F04D8A"/>
    <w:rsid w:val="00F04E0E"/>
    <w:rsid w:val="00F04EA9"/>
    <w:rsid w:val="00F04F0C"/>
    <w:rsid w:val="00F04F4A"/>
    <w:rsid w:val="00F04F85"/>
    <w:rsid w:val="00F04FB2"/>
    <w:rsid w:val="00F04FFF"/>
    <w:rsid w:val="00F050A9"/>
    <w:rsid w:val="00F050D0"/>
    <w:rsid w:val="00F051E0"/>
    <w:rsid w:val="00F05218"/>
    <w:rsid w:val="00F0527A"/>
    <w:rsid w:val="00F053C5"/>
    <w:rsid w:val="00F0548E"/>
    <w:rsid w:val="00F054D2"/>
    <w:rsid w:val="00F0557A"/>
    <w:rsid w:val="00F056CA"/>
    <w:rsid w:val="00F057FD"/>
    <w:rsid w:val="00F05941"/>
    <w:rsid w:val="00F05B94"/>
    <w:rsid w:val="00F05CA0"/>
    <w:rsid w:val="00F05DA6"/>
    <w:rsid w:val="00F05DCF"/>
    <w:rsid w:val="00F05FBE"/>
    <w:rsid w:val="00F0604D"/>
    <w:rsid w:val="00F062CC"/>
    <w:rsid w:val="00F06828"/>
    <w:rsid w:val="00F06894"/>
    <w:rsid w:val="00F0693B"/>
    <w:rsid w:val="00F06B3C"/>
    <w:rsid w:val="00F06BDE"/>
    <w:rsid w:val="00F06D3D"/>
    <w:rsid w:val="00F06F15"/>
    <w:rsid w:val="00F07141"/>
    <w:rsid w:val="00F0735D"/>
    <w:rsid w:val="00F07360"/>
    <w:rsid w:val="00F073E3"/>
    <w:rsid w:val="00F075CC"/>
    <w:rsid w:val="00F075CF"/>
    <w:rsid w:val="00F076AA"/>
    <w:rsid w:val="00F0770F"/>
    <w:rsid w:val="00F07897"/>
    <w:rsid w:val="00F079B6"/>
    <w:rsid w:val="00F079EB"/>
    <w:rsid w:val="00F07B29"/>
    <w:rsid w:val="00F07C90"/>
    <w:rsid w:val="00F07CCA"/>
    <w:rsid w:val="00F07D63"/>
    <w:rsid w:val="00F07DF0"/>
    <w:rsid w:val="00F10015"/>
    <w:rsid w:val="00F101A7"/>
    <w:rsid w:val="00F101F8"/>
    <w:rsid w:val="00F102E3"/>
    <w:rsid w:val="00F102F4"/>
    <w:rsid w:val="00F1040F"/>
    <w:rsid w:val="00F10487"/>
    <w:rsid w:val="00F10623"/>
    <w:rsid w:val="00F1091D"/>
    <w:rsid w:val="00F10930"/>
    <w:rsid w:val="00F10947"/>
    <w:rsid w:val="00F1099B"/>
    <w:rsid w:val="00F10A4B"/>
    <w:rsid w:val="00F10B29"/>
    <w:rsid w:val="00F10B6F"/>
    <w:rsid w:val="00F10C3B"/>
    <w:rsid w:val="00F10C90"/>
    <w:rsid w:val="00F10CFC"/>
    <w:rsid w:val="00F10E8A"/>
    <w:rsid w:val="00F10F1F"/>
    <w:rsid w:val="00F10F6F"/>
    <w:rsid w:val="00F10F95"/>
    <w:rsid w:val="00F110C3"/>
    <w:rsid w:val="00F11166"/>
    <w:rsid w:val="00F1116C"/>
    <w:rsid w:val="00F111A2"/>
    <w:rsid w:val="00F1121D"/>
    <w:rsid w:val="00F112B7"/>
    <w:rsid w:val="00F112F9"/>
    <w:rsid w:val="00F113C4"/>
    <w:rsid w:val="00F113E8"/>
    <w:rsid w:val="00F11558"/>
    <w:rsid w:val="00F1157D"/>
    <w:rsid w:val="00F115D0"/>
    <w:rsid w:val="00F11711"/>
    <w:rsid w:val="00F11C0F"/>
    <w:rsid w:val="00F11C4F"/>
    <w:rsid w:val="00F11D2F"/>
    <w:rsid w:val="00F11D39"/>
    <w:rsid w:val="00F11D48"/>
    <w:rsid w:val="00F11D9F"/>
    <w:rsid w:val="00F11FAE"/>
    <w:rsid w:val="00F12179"/>
    <w:rsid w:val="00F121EC"/>
    <w:rsid w:val="00F12259"/>
    <w:rsid w:val="00F12322"/>
    <w:rsid w:val="00F12331"/>
    <w:rsid w:val="00F123B1"/>
    <w:rsid w:val="00F123E6"/>
    <w:rsid w:val="00F125B3"/>
    <w:rsid w:val="00F125EB"/>
    <w:rsid w:val="00F12632"/>
    <w:rsid w:val="00F12810"/>
    <w:rsid w:val="00F12982"/>
    <w:rsid w:val="00F12AD2"/>
    <w:rsid w:val="00F12BA4"/>
    <w:rsid w:val="00F12BB4"/>
    <w:rsid w:val="00F12D4E"/>
    <w:rsid w:val="00F12D77"/>
    <w:rsid w:val="00F13233"/>
    <w:rsid w:val="00F13525"/>
    <w:rsid w:val="00F13595"/>
    <w:rsid w:val="00F13704"/>
    <w:rsid w:val="00F1381C"/>
    <w:rsid w:val="00F138F3"/>
    <w:rsid w:val="00F13BC5"/>
    <w:rsid w:val="00F13CF1"/>
    <w:rsid w:val="00F13D37"/>
    <w:rsid w:val="00F13DD6"/>
    <w:rsid w:val="00F13E2E"/>
    <w:rsid w:val="00F13E55"/>
    <w:rsid w:val="00F13E7E"/>
    <w:rsid w:val="00F13EA6"/>
    <w:rsid w:val="00F14005"/>
    <w:rsid w:val="00F14040"/>
    <w:rsid w:val="00F140DE"/>
    <w:rsid w:val="00F1425C"/>
    <w:rsid w:val="00F142A5"/>
    <w:rsid w:val="00F144D1"/>
    <w:rsid w:val="00F14574"/>
    <w:rsid w:val="00F145FA"/>
    <w:rsid w:val="00F1476C"/>
    <w:rsid w:val="00F147B2"/>
    <w:rsid w:val="00F1481D"/>
    <w:rsid w:val="00F14832"/>
    <w:rsid w:val="00F1487C"/>
    <w:rsid w:val="00F148B1"/>
    <w:rsid w:val="00F14ACC"/>
    <w:rsid w:val="00F14BB0"/>
    <w:rsid w:val="00F14BD8"/>
    <w:rsid w:val="00F14C07"/>
    <w:rsid w:val="00F14D0A"/>
    <w:rsid w:val="00F14D52"/>
    <w:rsid w:val="00F14FE9"/>
    <w:rsid w:val="00F150ED"/>
    <w:rsid w:val="00F15284"/>
    <w:rsid w:val="00F152AC"/>
    <w:rsid w:val="00F1530F"/>
    <w:rsid w:val="00F15322"/>
    <w:rsid w:val="00F15637"/>
    <w:rsid w:val="00F156AF"/>
    <w:rsid w:val="00F156EE"/>
    <w:rsid w:val="00F15764"/>
    <w:rsid w:val="00F1578D"/>
    <w:rsid w:val="00F157A9"/>
    <w:rsid w:val="00F15883"/>
    <w:rsid w:val="00F1590E"/>
    <w:rsid w:val="00F1595E"/>
    <w:rsid w:val="00F15BB9"/>
    <w:rsid w:val="00F15BBD"/>
    <w:rsid w:val="00F15D5C"/>
    <w:rsid w:val="00F15D9D"/>
    <w:rsid w:val="00F15E3F"/>
    <w:rsid w:val="00F15E96"/>
    <w:rsid w:val="00F15FBD"/>
    <w:rsid w:val="00F16061"/>
    <w:rsid w:val="00F16082"/>
    <w:rsid w:val="00F16105"/>
    <w:rsid w:val="00F165F4"/>
    <w:rsid w:val="00F166A7"/>
    <w:rsid w:val="00F16723"/>
    <w:rsid w:val="00F167DA"/>
    <w:rsid w:val="00F1686C"/>
    <w:rsid w:val="00F16896"/>
    <w:rsid w:val="00F169F1"/>
    <w:rsid w:val="00F16A19"/>
    <w:rsid w:val="00F16A88"/>
    <w:rsid w:val="00F16AE5"/>
    <w:rsid w:val="00F16B93"/>
    <w:rsid w:val="00F16E3C"/>
    <w:rsid w:val="00F16F01"/>
    <w:rsid w:val="00F17166"/>
    <w:rsid w:val="00F1731E"/>
    <w:rsid w:val="00F174E0"/>
    <w:rsid w:val="00F175A0"/>
    <w:rsid w:val="00F175E8"/>
    <w:rsid w:val="00F177AD"/>
    <w:rsid w:val="00F177E6"/>
    <w:rsid w:val="00F179E4"/>
    <w:rsid w:val="00F179E5"/>
    <w:rsid w:val="00F17B23"/>
    <w:rsid w:val="00F17D95"/>
    <w:rsid w:val="00F17DC1"/>
    <w:rsid w:val="00F17E05"/>
    <w:rsid w:val="00F17E18"/>
    <w:rsid w:val="00F17EE9"/>
    <w:rsid w:val="00F200CA"/>
    <w:rsid w:val="00F20143"/>
    <w:rsid w:val="00F203E9"/>
    <w:rsid w:val="00F204D3"/>
    <w:rsid w:val="00F20516"/>
    <w:rsid w:val="00F2055B"/>
    <w:rsid w:val="00F20584"/>
    <w:rsid w:val="00F205A7"/>
    <w:rsid w:val="00F205EE"/>
    <w:rsid w:val="00F20A13"/>
    <w:rsid w:val="00F20AE1"/>
    <w:rsid w:val="00F20B03"/>
    <w:rsid w:val="00F20BE8"/>
    <w:rsid w:val="00F20C8F"/>
    <w:rsid w:val="00F20ECD"/>
    <w:rsid w:val="00F20F07"/>
    <w:rsid w:val="00F20F8A"/>
    <w:rsid w:val="00F212CA"/>
    <w:rsid w:val="00F216B7"/>
    <w:rsid w:val="00F21938"/>
    <w:rsid w:val="00F21975"/>
    <w:rsid w:val="00F2199F"/>
    <w:rsid w:val="00F21A81"/>
    <w:rsid w:val="00F21C4C"/>
    <w:rsid w:val="00F21C63"/>
    <w:rsid w:val="00F21E69"/>
    <w:rsid w:val="00F21EA8"/>
    <w:rsid w:val="00F21EEC"/>
    <w:rsid w:val="00F21F9E"/>
    <w:rsid w:val="00F21FC6"/>
    <w:rsid w:val="00F220D8"/>
    <w:rsid w:val="00F22116"/>
    <w:rsid w:val="00F22205"/>
    <w:rsid w:val="00F22267"/>
    <w:rsid w:val="00F22285"/>
    <w:rsid w:val="00F222AA"/>
    <w:rsid w:val="00F22362"/>
    <w:rsid w:val="00F2242E"/>
    <w:rsid w:val="00F2244A"/>
    <w:rsid w:val="00F22638"/>
    <w:rsid w:val="00F2265D"/>
    <w:rsid w:val="00F226B7"/>
    <w:rsid w:val="00F22720"/>
    <w:rsid w:val="00F227DB"/>
    <w:rsid w:val="00F227DE"/>
    <w:rsid w:val="00F22AF5"/>
    <w:rsid w:val="00F22B49"/>
    <w:rsid w:val="00F22B59"/>
    <w:rsid w:val="00F22BED"/>
    <w:rsid w:val="00F22BF1"/>
    <w:rsid w:val="00F22C0F"/>
    <w:rsid w:val="00F22C79"/>
    <w:rsid w:val="00F22D04"/>
    <w:rsid w:val="00F22E29"/>
    <w:rsid w:val="00F22EA5"/>
    <w:rsid w:val="00F22F86"/>
    <w:rsid w:val="00F22FD1"/>
    <w:rsid w:val="00F2304C"/>
    <w:rsid w:val="00F23070"/>
    <w:rsid w:val="00F231B3"/>
    <w:rsid w:val="00F231BE"/>
    <w:rsid w:val="00F23464"/>
    <w:rsid w:val="00F23478"/>
    <w:rsid w:val="00F23500"/>
    <w:rsid w:val="00F23514"/>
    <w:rsid w:val="00F2355B"/>
    <w:rsid w:val="00F2368D"/>
    <w:rsid w:val="00F2375D"/>
    <w:rsid w:val="00F2376F"/>
    <w:rsid w:val="00F237CA"/>
    <w:rsid w:val="00F2384F"/>
    <w:rsid w:val="00F23867"/>
    <w:rsid w:val="00F23897"/>
    <w:rsid w:val="00F23AF7"/>
    <w:rsid w:val="00F23B82"/>
    <w:rsid w:val="00F23D34"/>
    <w:rsid w:val="00F23D80"/>
    <w:rsid w:val="00F23E5E"/>
    <w:rsid w:val="00F23E8D"/>
    <w:rsid w:val="00F2412A"/>
    <w:rsid w:val="00F24145"/>
    <w:rsid w:val="00F24173"/>
    <w:rsid w:val="00F2431A"/>
    <w:rsid w:val="00F2448E"/>
    <w:rsid w:val="00F2454B"/>
    <w:rsid w:val="00F2462E"/>
    <w:rsid w:val="00F24647"/>
    <w:rsid w:val="00F24652"/>
    <w:rsid w:val="00F24763"/>
    <w:rsid w:val="00F248ED"/>
    <w:rsid w:val="00F249A1"/>
    <w:rsid w:val="00F24AB3"/>
    <w:rsid w:val="00F24C62"/>
    <w:rsid w:val="00F24CC5"/>
    <w:rsid w:val="00F24D44"/>
    <w:rsid w:val="00F24E86"/>
    <w:rsid w:val="00F24F00"/>
    <w:rsid w:val="00F2501C"/>
    <w:rsid w:val="00F2504D"/>
    <w:rsid w:val="00F251CA"/>
    <w:rsid w:val="00F25228"/>
    <w:rsid w:val="00F2555A"/>
    <w:rsid w:val="00F25866"/>
    <w:rsid w:val="00F2593E"/>
    <w:rsid w:val="00F25940"/>
    <w:rsid w:val="00F259B6"/>
    <w:rsid w:val="00F25ABD"/>
    <w:rsid w:val="00F25B49"/>
    <w:rsid w:val="00F25CB1"/>
    <w:rsid w:val="00F25CB3"/>
    <w:rsid w:val="00F25E79"/>
    <w:rsid w:val="00F25EBC"/>
    <w:rsid w:val="00F25FD1"/>
    <w:rsid w:val="00F2603F"/>
    <w:rsid w:val="00F2604A"/>
    <w:rsid w:val="00F2609B"/>
    <w:rsid w:val="00F2612A"/>
    <w:rsid w:val="00F2621A"/>
    <w:rsid w:val="00F26249"/>
    <w:rsid w:val="00F262F2"/>
    <w:rsid w:val="00F2640C"/>
    <w:rsid w:val="00F26515"/>
    <w:rsid w:val="00F2652A"/>
    <w:rsid w:val="00F265B9"/>
    <w:rsid w:val="00F26761"/>
    <w:rsid w:val="00F267A9"/>
    <w:rsid w:val="00F26A06"/>
    <w:rsid w:val="00F26B57"/>
    <w:rsid w:val="00F26C08"/>
    <w:rsid w:val="00F26C52"/>
    <w:rsid w:val="00F26CAF"/>
    <w:rsid w:val="00F26D4F"/>
    <w:rsid w:val="00F26DC5"/>
    <w:rsid w:val="00F27169"/>
    <w:rsid w:val="00F271B0"/>
    <w:rsid w:val="00F27229"/>
    <w:rsid w:val="00F27366"/>
    <w:rsid w:val="00F27406"/>
    <w:rsid w:val="00F27567"/>
    <w:rsid w:val="00F2781D"/>
    <w:rsid w:val="00F278FF"/>
    <w:rsid w:val="00F279E8"/>
    <w:rsid w:val="00F27BD4"/>
    <w:rsid w:val="00F27C16"/>
    <w:rsid w:val="00F27C54"/>
    <w:rsid w:val="00F27D47"/>
    <w:rsid w:val="00F27D9A"/>
    <w:rsid w:val="00F27E44"/>
    <w:rsid w:val="00F27EFF"/>
    <w:rsid w:val="00F27F74"/>
    <w:rsid w:val="00F27FE0"/>
    <w:rsid w:val="00F30126"/>
    <w:rsid w:val="00F30133"/>
    <w:rsid w:val="00F30153"/>
    <w:rsid w:val="00F3017D"/>
    <w:rsid w:val="00F30222"/>
    <w:rsid w:val="00F303C6"/>
    <w:rsid w:val="00F303D0"/>
    <w:rsid w:val="00F304A4"/>
    <w:rsid w:val="00F3059E"/>
    <w:rsid w:val="00F30630"/>
    <w:rsid w:val="00F306ED"/>
    <w:rsid w:val="00F30790"/>
    <w:rsid w:val="00F30841"/>
    <w:rsid w:val="00F30886"/>
    <w:rsid w:val="00F30979"/>
    <w:rsid w:val="00F30A49"/>
    <w:rsid w:val="00F30AF0"/>
    <w:rsid w:val="00F30AF1"/>
    <w:rsid w:val="00F30B88"/>
    <w:rsid w:val="00F30DCD"/>
    <w:rsid w:val="00F30E3B"/>
    <w:rsid w:val="00F30E8A"/>
    <w:rsid w:val="00F30F3D"/>
    <w:rsid w:val="00F30F5D"/>
    <w:rsid w:val="00F30FAB"/>
    <w:rsid w:val="00F310C1"/>
    <w:rsid w:val="00F31174"/>
    <w:rsid w:val="00F31277"/>
    <w:rsid w:val="00F312CE"/>
    <w:rsid w:val="00F313F0"/>
    <w:rsid w:val="00F31404"/>
    <w:rsid w:val="00F315C9"/>
    <w:rsid w:val="00F315F2"/>
    <w:rsid w:val="00F316BB"/>
    <w:rsid w:val="00F31709"/>
    <w:rsid w:val="00F3179D"/>
    <w:rsid w:val="00F317AA"/>
    <w:rsid w:val="00F31863"/>
    <w:rsid w:val="00F31995"/>
    <w:rsid w:val="00F31B19"/>
    <w:rsid w:val="00F31C0D"/>
    <w:rsid w:val="00F31C8C"/>
    <w:rsid w:val="00F31D71"/>
    <w:rsid w:val="00F31E3B"/>
    <w:rsid w:val="00F31F89"/>
    <w:rsid w:val="00F32073"/>
    <w:rsid w:val="00F32123"/>
    <w:rsid w:val="00F3214E"/>
    <w:rsid w:val="00F323A9"/>
    <w:rsid w:val="00F324FE"/>
    <w:rsid w:val="00F325AF"/>
    <w:rsid w:val="00F32607"/>
    <w:rsid w:val="00F32633"/>
    <w:rsid w:val="00F32634"/>
    <w:rsid w:val="00F32665"/>
    <w:rsid w:val="00F3266F"/>
    <w:rsid w:val="00F326A2"/>
    <w:rsid w:val="00F32794"/>
    <w:rsid w:val="00F327E7"/>
    <w:rsid w:val="00F3289E"/>
    <w:rsid w:val="00F32A30"/>
    <w:rsid w:val="00F32ACF"/>
    <w:rsid w:val="00F32BF7"/>
    <w:rsid w:val="00F32CCE"/>
    <w:rsid w:val="00F32DEC"/>
    <w:rsid w:val="00F330CD"/>
    <w:rsid w:val="00F330F6"/>
    <w:rsid w:val="00F3316E"/>
    <w:rsid w:val="00F3334E"/>
    <w:rsid w:val="00F333BB"/>
    <w:rsid w:val="00F3344A"/>
    <w:rsid w:val="00F334C9"/>
    <w:rsid w:val="00F33628"/>
    <w:rsid w:val="00F33804"/>
    <w:rsid w:val="00F338CA"/>
    <w:rsid w:val="00F339EC"/>
    <w:rsid w:val="00F33B73"/>
    <w:rsid w:val="00F33C69"/>
    <w:rsid w:val="00F33DB8"/>
    <w:rsid w:val="00F33DEA"/>
    <w:rsid w:val="00F33F1E"/>
    <w:rsid w:val="00F33FA7"/>
    <w:rsid w:val="00F33FD8"/>
    <w:rsid w:val="00F3407A"/>
    <w:rsid w:val="00F341BD"/>
    <w:rsid w:val="00F341EA"/>
    <w:rsid w:val="00F342BD"/>
    <w:rsid w:val="00F3443A"/>
    <w:rsid w:val="00F34461"/>
    <w:rsid w:val="00F3479B"/>
    <w:rsid w:val="00F348BB"/>
    <w:rsid w:val="00F34948"/>
    <w:rsid w:val="00F349F9"/>
    <w:rsid w:val="00F34A56"/>
    <w:rsid w:val="00F34AA4"/>
    <w:rsid w:val="00F34B0B"/>
    <w:rsid w:val="00F34B8A"/>
    <w:rsid w:val="00F34CC6"/>
    <w:rsid w:val="00F34E6C"/>
    <w:rsid w:val="00F350EC"/>
    <w:rsid w:val="00F353B3"/>
    <w:rsid w:val="00F35555"/>
    <w:rsid w:val="00F35701"/>
    <w:rsid w:val="00F3578E"/>
    <w:rsid w:val="00F358BA"/>
    <w:rsid w:val="00F35CF8"/>
    <w:rsid w:val="00F35F3B"/>
    <w:rsid w:val="00F35FDB"/>
    <w:rsid w:val="00F3628F"/>
    <w:rsid w:val="00F362F3"/>
    <w:rsid w:val="00F366DF"/>
    <w:rsid w:val="00F36899"/>
    <w:rsid w:val="00F369C6"/>
    <w:rsid w:val="00F369DB"/>
    <w:rsid w:val="00F36C56"/>
    <w:rsid w:val="00F36D2B"/>
    <w:rsid w:val="00F371CC"/>
    <w:rsid w:val="00F37326"/>
    <w:rsid w:val="00F373D5"/>
    <w:rsid w:val="00F3747F"/>
    <w:rsid w:val="00F37975"/>
    <w:rsid w:val="00F379A3"/>
    <w:rsid w:val="00F37A52"/>
    <w:rsid w:val="00F37ABF"/>
    <w:rsid w:val="00F37B59"/>
    <w:rsid w:val="00F37B76"/>
    <w:rsid w:val="00F37C45"/>
    <w:rsid w:val="00F37CB5"/>
    <w:rsid w:val="00F37F84"/>
    <w:rsid w:val="00F401FD"/>
    <w:rsid w:val="00F4023C"/>
    <w:rsid w:val="00F402B4"/>
    <w:rsid w:val="00F4036A"/>
    <w:rsid w:val="00F40373"/>
    <w:rsid w:val="00F403E1"/>
    <w:rsid w:val="00F40564"/>
    <w:rsid w:val="00F40604"/>
    <w:rsid w:val="00F4078C"/>
    <w:rsid w:val="00F40830"/>
    <w:rsid w:val="00F40884"/>
    <w:rsid w:val="00F408AD"/>
    <w:rsid w:val="00F409D6"/>
    <w:rsid w:val="00F40A28"/>
    <w:rsid w:val="00F40A50"/>
    <w:rsid w:val="00F40AB8"/>
    <w:rsid w:val="00F40C18"/>
    <w:rsid w:val="00F40CA6"/>
    <w:rsid w:val="00F40D98"/>
    <w:rsid w:val="00F40F13"/>
    <w:rsid w:val="00F40F6F"/>
    <w:rsid w:val="00F410B5"/>
    <w:rsid w:val="00F41113"/>
    <w:rsid w:val="00F41127"/>
    <w:rsid w:val="00F41257"/>
    <w:rsid w:val="00F41439"/>
    <w:rsid w:val="00F41460"/>
    <w:rsid w:val="00F41489"/>
    <w:rsid w:val="00F415C2"/>
    <w:rsid w:val="00F41670"/>
    <w:rsid w:val="00F416A5"/>
    <w:rsid w:val="00F416E8"/>
    <w:rsid w:val="00F417DA"/>
    <w:rsid w:val="00F41800"/>
    <w:rsid w:val="00F41802"/>
    <w:rsid w:val="00F4190D"/>
    <w:rsid w:val="00F41918"/>
    <w:rsid w:val="00F41AF8"/>
    <w:rsid w:val="00F41B0B"/>
    <w:rsid w:val="00F41B41"/>
    <w:rsid w:val="00F41F65"/>
    <w:rsid w:val="00F42043"/>
    <w:rsid w:val="00F42156"/>
    <w:rsid w:val="00F4220C"/>
    <w:rsid w:val="00F42288"/>
    <w:rsid w:val="00F422CD"/>
    <w:rsid w:val="00F423CA"/>
    <w:rsid w:val="00F42416"/>
    <w:rsid w:val="00F42734"/>
    <w:rsid w:val="00F427EA"/>
    <w:rsid w:val="00F42975"/>
    <w:rsid w:val="00F429B5"/>
    <w:rsid w:val="00F42C7B"/>
    <w:rsid w:val="00F42CA2"/>
    <w:rsid w:val="00F42CB4"/>
    <w:rsid w:val="00F42D30"/>
    <w:rsid w:val="00F42EBA"/>
    <w:rsid w:val="00F43021"/>
    <w:rsid w:val="00F430CD"/>
    <w:rsid w:val="00F43142"/>
    <w:rsid w:val="00F43172"/>
    <w:rsid w:val="00F432CE"/>
    <w:rsid w:val="00F43378"/>
    <w:rsid w:val="00F4356A"/>
    <w:rsid w:val="00F437B6"/>
    <w:rsid w:val="00F4384C"/>
    <w:rsid w:val="00F43873"/>
    <w:rsid w:val="00F438B0"/>
    <w:rsid w:val="00F43910"/>
    <w:rsid w:val="00F43AB0"/>
    <w:rsid w:val="00F43C0D"/>
    <w:rsid w:val="00F43CEB"/>
    <w:rsid w:val="00F43F18"/>
    <w:rsid w:val="00F44144"/>
    <w:rsid w:val="00F446D5"/>
    <w:rsid w:val="00F447D6"/>
    <w:rsid w:val="00F44B02"/>
    <w:rsid w:val="00F44BCB"/>
    <w:rsid w:val="00F44CFE"/>
    <w:rsid w:val="00F44D08"/>
    <w:rsid w:val="00F44E23"/>
    <w:rsid w:val="00F44E54"/>
    <w:rsid w:val="00F44EC0"/>
    <w:rsid w:val="00F44F60"/>
    <w:rsid w:val="00F450B9"/>
    <w:rsid w:val="00F450C6"/>
    <w:rsid w:val="00F450FD"/>
    <w:rsid w:val="00F45169"/>
    <w:rsid w:val="00F451A2"/>
    <w:rsid w:val="00F45253"/>
    <w:rsid w:val="00F45316"/>
    <w:rsid w:val="00F45528"/>
    <w:rsid w:val="00F455BD"/>
    <w:rsid w:val="00F455C9"/>
    <w:rsid w:val="00F45612"/>
    <w:rsid w:val="00F45695"/>
    <w:rsid w:val="00F45796"/>
    <w:rsid w:val="00F458F0"/>
    <w:rsid w:val="00F45913"/>
    <w:rsid w:val="00F4592F"/>
    <w:rsid w:val="00F45B17"/>
    <w:rsid w:val="00F45BBC"/>
    <w:rsid w:val="00F45BDD"/>
    <w:rsid w:val="00F45BF3"/>
    <w:rsid w:val="00F45C44"/>
    <w:rsid w:val="00F45D17"/>
    <w:rsid w:val="00F45D49"/>
    <w:rsid w:val="00F45D84"/>
    <w:rsid w:val="00F45DFB"/>
    <w:rsid w:val="00F45DFE"/>
    <w:rsid w:val="00F45E42"/>
    <w:rsid w:val="00F4611C"/>
    <w:rsid w:val="00F461B5"/>
    <w:rsid w:val="00F4625B"/>
    <w:rsid w:val="00F46438"/>
    <w:rsid w:val="00F46612"/>
    <w:rsid w:val="00F46686"/>
    <w:rsid w:val="00F466EA"/>
    <w:rsid w:val="00F468BF"/>
    <w:rsid w:val="00F468D8"/>
    <w:rsid w:val="00F46A6E"/>
    <w:rsid w:val="00F46D5F"/>
    <w:rsid w:val="00F46D7D"/>
    <w:rsid w:val="00F46E19"/>
    <w:rsid w:val="00F46E33"/>
    <w:rsid w:val="00F46EF1"/>
    <w:rsid w:val="00F46F1A"/>
    <w:rsid w:val="00F46FC0"/>
    <w:rsid w:val="00F47194"/>
    <w:rsid w:val="00F47367"/>
    <w:rsid w:val="00F47463"/>
    <w:rsid w:val="00F474AA"/>
    <w:rsid w:val="00F47530"/>
    <w:rsid w:val="00F4766B"/>
    <w:rsid w:val="00F47743"/>
    <w:rsid w:val="00F4779D"/>
    <w:rsid w:val="00F47808"/>
    <w:rsid w:val="00F47832"/>
    <w:rsid w:val="00F47971"/>
    <w:rsid w:val="00F47992"/>
    <w:rsid w:val="00F479AD"/>
    <w:rsid w:val="00F479C7"/>
    <w:rsid w:val="00F47A73"/>
    <w:rsid w:val="00F47B1D"/>
    <w:rsid w:val="00F47C48"/>
    <w:rsid w:val="00F47D7F"/>
    <w:rsid w:val="00F47DB5"/>
    <w:rsid w:val="00F47E12"/>
    <w:rsid w:val="00F47EF8"/>
    <w:rsid w:val="00F50109"/>
    <w:rsid w:val="00F50255"/>
    <w:rsid w:val="00F5027B"/>
    <w:rsid w:val="00F502CE"/>
    <w:rsid w:val="00F502D3"/>
    <w:rsid w:val="00F502F1"/>
    <w:rsid w:val="00F503DE"/>
    <w:rsid w:val="00F5052F"/>
    <w:rsid w:val="00F5074D"/>
    <w:rsid w:val="00F507A9"/>
    <w:rsid w:val="00F50919"/>
    <w:rsid w:val="00F5091B"/>
    <w:rsid w:val="00F50949"/>
    <w:rsid w:val="00F509C8"/>
    <w:rsid w:val="00F50AE4"/>
    <w:rsid w:val="00F50B82"/>
    <w:rsid w:val="00F50C13"/>
    <w:rsid w:val="00F50D3B"/>
    <w:rsid w:val="00F50D68"/>
    <w:rsid w:val="00F50E86"/>
    <w:rsid w:val="00F5105C"/>
    <w:rsid w:val="00F5111E"/>
    <w:rsid w:val="00F511D8"/>
    <w:rsid w:val="00F5124C"/>
    <w:rsid w:val="00F51425"/>
    <w:rsid w:val="00F51645"/>
    <w:rsid w:val="00F516AB"/>
    <w:rsid w:val="00F516CF"/>
    <w:rsid w:val="00F517AA"/>
    <w:rsid w:val="00F518AC"/>
    <w:rsid w:val="00F51925"/>
    <w:rsid w:val="00F51943"/>
    <w:rsid w:val="00F51987"/>
    <w:rsid w:val="00F51A20"/>
    <w:rsid w:val="00F51B64"/>
    <w:rsid w:val="00F51BA0"/>
    <w:rsid w:val="00F51BF4"/>
    <w:rsid w:val="00F51C17"/>
    <w:rsid w:val="00F51D7F"/>
    <w:rsid w:val="00F51D94"/>
    <w:rsid w:val="00F51E8D"/>
    <w:rsid w:val="00F51EB1"/>
    <w:rsid w:val="00F51EC0"/>
    <w:rsid w:val="00F51F4C"/>
    <w:rsid w:val="00F52026"/>
    <w:rsid w:val="00F522DC"/>
    <w:rsid w:val="00F52518"/>
    <w:rsid w:val="00F526B8"/>
    <w:rsid w:val="00F527E0"/>
    <w:rsid w:val="00F52999"/>
    <w:rsid w:val="00F52D00"/>
    <w:rsid w:val="00F52E04"/>
    <w:rsid w:val="00F52E1D"/>
    <w:rsid w:val="00F52E7C"/>
    <w:rsid w:val="00F52F03"/>
    <w:rsid w:val="00F52F43"/>
    <w:rsid w:val="00F52FB8"/>
    <w:rsid w:val="00F53184"/>
    <w:rsid w:val="00F531E5"/>
    <w:rsid w:val="00F5352C"/>
    <w:rsid w:val="00F53545"/>
    <w:rsid w:val="00F5365A"/>
    <w:rsid w:val="00F53782"/>
    <w:rsid w:val="00F5388C"/>
    <w:rsid w:val="00F538BB"/>
    <w:rsid w:val="00F538D8"/>
    <w:rsid w:val="00F53978"/>
    <w:rsid w:val="00F53AA5"/>
    <w:rsid w:val="00F53B25"/>
    <w:rsid w:val="00F53BF9"/>
    <w:rsid w:val="00F53C01"/>
    <w:rsid w:val="00F53C05"/>
    <w:rsid w:val="00F53C84"/>
    <w:rsid w:val="00F53E26"/>
    <w:rsid w:val="00F53E5D"/>
    <w:rsid w:val="00F5420B"/>
    <w:rsid w:val="00F542C0"/>
    <w:rsid w:val="00F54529"/>
    <w:rsid w:val="00F5455C"/>
    <w:rsid w:val="00F54672"/>
    <w:rsid w:val="00F54703"/>
    <w:rsid w:val="00F5472A"/>
    <w:rsid w:val="00F547D8"/>
    <w:rsid w:val="00F5487A"/>
    <w:rsid w:val="00F54959"/>
    <w:rsid w:val="00F549F2"/>
    <w:rsid w:val="00F54A67"/>
    <w:rsid w:val="00F54AA8"/>
    <w:rsid w:val="00F54B48"/>
    <w:rsid w:val="00F54BC5"/>
    <w:rsid w:val="00F55058"/>
    <w:rsid w:val="00F5534D"/>
    <w:rsid w:val="00F5538F"/>
    <w:rsid w:val="00F55390"/>
    <w:rsid w:val="00F553DE"/>
    <w:rsid w:val="00F553FB"/>
    <w:rsid w:val="00F55552"/>
    <w:rsid w:val="00F555FC"/>
    <w:rsid w:val="00F55632"/>
    <w:rsid w:val="00F5569F"/>
    <w:rsid w:val="00F556A2"/>
    <w:rsid w:val="00F556DD"/>
    <w:rsid w:val="00F557AF"/>
    <w:rsid w:val="00F55850"/>
    <w:rsid w:val="00F5593F"/>
    <w:rsid w:val="00F5594C"/>
    <w:rsid w:val="00F55AF3"/>
    <w:rsid w:val="00F55BE4"/>
    <w:rsid w:val="00F55D27"/>
    <w:rsid w:val="00F55DCC"/>
    <w:rsid w:val="00F55EA2"/>
    <w:rsid w:val="00F560D1"/>
    <w:rsid w:val="00F56306"/>
    <w:rsid w:val="00F563AB"/>
    <w:rsid w:val="00F56473"/>
    <w:rsid w:val="00F56482"/>
    <w:rsid w:val="00F56509"/>
    <w:rsid w:val="00F56652"/>
    <w:rsid w:val="00F566B6"/>
    <w:rsid w:val="00F56709"/>
    <w:rsid w:val="00F56779"/>
    <w:rsid w:val="00F56780"/>
    <w:rsid w:val="00F567BB"/>
    <w:rsid w:val="00F56806"/>
    <w:rsid w:val="00F569D0"/>
    <w:rsid w:val="00F56C02"/>
    <w:rsid w:val="00F56F4D"/>
    <w:rsid w:val="00F56FE5"/>
    <w:rsid w:val="00F57113"/>
    <w:rsid w:val="00F5730F"/>
    <w:rsid w:val="00F573BF"/>
    <w:rsid w:val="00F573E5"/>
    <w:rsid w:val="00F574C2"/>
    <w:rsid w:val="00F574E9"/>
    <w:rsid w:val="00F5754D"/>
    <w:rsid w:val="00F575B9"/>
    <w:rsid w:val="00F57702"/>
    <w:rsid w:val="00F5773C"/>
    <w:rsid w:val="00F57836"/>
    <w:rsid w:val="00F5788D"/>
    <w:rsid w:val="00F578B8"/>
    <w:rsid w:val="00F57A3E"/>
    <w:rsid w:val="00F57B9B"/>
    <w:rsid w:val="00F57BDE"/>
    <w:rsid w:val="00F57BED"/>
    <w:rsid w:val="00F57C75"/>
    <w:rsid w:val="00F57D1E"/>
    <w:rsid w:val="00F57D27"/>
    <w:rsid w:val="00F57DC4"/>
    <w:rsid w:val="00F57DED"/>
    <w:rsid w:val="00F57DEE"/>
    <w:rsid w:val="00F57E95"/>
    <w:rsid w:val="00F60036"/>
    <w:rsid w:val="00F60198"/>
    <w:rsid w:val="00F601D9"/>
    <w:rsid w:val="00F6023E"/>
    <w:rsid w:val="00F6043E"/>
    <w:rsid w:val="00F60521"/>
    <w:rsid w:val="00F6055F"/>
    <w:rsid w:val="00F605D6"/>
    <w:rsid w:val="00F605FA"/>
    <w:rsid w:val="00F608F9"/>
    <w:rsid w:val="00F60AE6"/>
    <w:rsid w:val="00F60BD2"/>
    <w:rsid w:val="00F60E66"/>
    <w:rsid w:val="00F60F15"/>
    <w:rsid w:val="00F60F76"/>
    <w:rsid w:val="00F60F82"/>
    <w:rsid w:val="00F61022"/>
    <w:rsid w:val="00F61114"/>
    <w:rsid w:val="00F6120D"/>
    <w:rsid w:val="00F612A2"/>
    <w:rsid w:val="00F61366"/>
    <w:rsid w:val="00F61473"/>
    <w:rsid w:val="00F614F2"/>
    <w:rsid w:val="00F61526"/>
    <w:rsid w:val="00F61534"/>
    <w:rsid w:val="00F6162D"/>
    <w:rsid w:val="00F61700"/>
    <w:rsid w:val="00F61810"/>
    <w:rsid w:val="00F61892"/>
    <w:rsid w:val="00F61894"/>
    <w:rsid w:val="00F61B3F"/>
    <w:rsid w:val="00F61B56"/>
    <w:rsid w:val="00F61B8E"/>
    <w:rsid w:val="00F61CBE"/>
    <w:rsid w:val="00F61E71"/>
    <w:rsid w:val="00F62073"/>
    <w:rsid w:val="00F62210"/>
    <w:rsid w:val="00F62654"/>
    <w:rsid w:val="00F626AF"/>
    <w:rsid w:val="00F6273C"/>
    <w:rsid w:val="00F627A9"/>
    <w:rsid w:val="00F6291B"/>
    <w:rsid w:val="00F62A6E"/>
    <w:rsid w:val="00F62A96"/>
    <w:rsid w:val="00F62B42"/>
    <w:rsid w:val="00F62B68"/>
    <w:rsid w:val="00F62DA7"/>
    <w:rsid w:val="00F62EB0"/>
    <w:rsid w:val="00F62FD4"/>
    <w:rsid w:val="00F62FE6"/>
    <w:rsid w:val="00F631E9"/>
    <w:rsid w:val="00F6321B"/>
    <w:rsid w:val="00F63394"/>
    <w:rsid w:val="00F63519"/>
    <w:rsid w:val="00F636F6"/>
    <w:rsid w:val="00F6373A"/>
    <w:rsid w:val="00F63755"/>
    <w:rsid w:val="00F63823"/>
    <w:rsid w:val="00F63A38"/>
    <w:rsid w:val="00F63A48"/>
    <w:rsid w:val="00F63BC6"/>
    <w:rsid w:val="00F63C27"/>
    <w:rsid w:val="00F63C4C"/>
    <w:rsid w:val="00F63C80"/>
    <w:rsid w:val="00F63C96"/>
    <w:rsid w:val="00F63D70"/>
    <w:rsid w:val="00F63D9F"/>
    <w:rsid w:val="00F63EF1"/>
    <w:rsid w:val="00F63EFF"/>
    <w:rsid w:val="00F64004"/>
    <w:rsid w:val="00F640B4"/>
    <w:rsid w:val="00F6424C"/>
    <w:rsid w:val="00F64266"/>
    <w:rsid w:val="00F64295"/>
    <w:rsid w:val="00F64302"/>
    <w:rsid w:val="00F64315"/>
    <w:rsid w:val="00F64343"/>
    <w:rsid w:val="00F6438F"/>
    <w:rsid w:val="00F6442A"/>
    <w:rsid w:val="00F64573"/>
    <w:rsid w:val="00F646A8"/>
    <w:rsid w:val="00F6499A"/>
    <w:rsid w:val="00F649B0"/>
    <w:rsid w:val="00F649E3"/>
    <w:rsid w:val="00F649E6"/>
    <w:rsid w:val="00F64A61"/>
    <w:rsid w:val="00F64E9F"/>
    <w:rsid w:val="00F64ED8"/>
    <w:rsid w:val="00F64EE9"/>
    <w:rsid w:val="00F65093"/>
    <w:rsid w:val="00F650B4"/>
    <w:rsid w:val="00F650C0"/>
    <w:rsid w:val="00F650D9"/>
    <w:rsid w:val="00F6544C"/>
    <w:rsid w:val="00F6555B"/>
    <w:rsid w:val="00F655DC"/>
    <w:rsid w:val="00F655E3"/>
    <w:rsid w:val="00F657AA"/>
    <w:rsid w:val="00F65897"/>
    <w:rsid w:val="00F6597E"/>
    <w:rsid w:val="00F659AA"/>
    <w:rsid w:val="00F659FD"/>
    <w:rsid w:val="00F65AFB"/>
    <w:rsid w:val="00F65B70"/>
    <w:rsid w:val="00F65BE8"/>
    <w:rsid w:val="00F65C44"/>
    <w:rsid w:val="00F65D04"/>
    <w:rsid w:val="00F65D52"/>
    <w:rsid w:val="00F65D70"/>
    <w:rsid w:val="00F65F26"/>
    <w:rsid w:val="00F65F64"/>
    <w:rsid w:val="00F65F96"/>
    <w:rsid w:val="00F661A3"/>
    <w:rsid w:val="00F661F5"/>
    <w:rsid w:val="00F6621F"/>
    <w:rsid w:val="00F662AF"/>
    <w:rsid w:val="00F66402"/>
    <w:rsid w:val="00F66410"/>
    <w:rsid w:val="00F664C5"/>
    <w:rsid w:val="00F6658B"/>
    <w:rsid w:val="00F665A7"/>
    <w:rsid w:val="00F66647"/>
    <w:rsid w:val="00F66854"/>
    <w:rsid w:val="00F66969"/>
    <w:rsid w:val="00F669CD"/>
    <w:rsid w:val="00F66C7D"/>
    <w:rsid w:val="00F66CBE"/>
    <w:rsid w:val="00F66DD3"/>
    <w:rsid w:val="00F67101"/>
    <w:rsid w:val="00F671D6"/>
    <w:rsid w:val="00F671F8"/>
    <w:rsid w:val="00F6721B"/>
    <w:rsid w:val="00F6725D"/>
    <w:rsid w:val="00F675C2"/>
    <w:rsid w:val="00F6767A"/>
    <w:rsid w:val="00F67767"/>
    <w:rsid w:val="00F67798"/>
    <w:rsid w:val="00F67815"/>
    <w:rsid w:val="00F67829"/>
    <w:rsid w:val="00F678C4"/>
    <w:rsid w:val="00F67A73"/>
    <w:rsid w:val="00F67AD1"/>
    <w:rsid w:val="00F67B10"/>
    <w:rsid w:val="00F67B3A"/>
    <w:rsid w:val="00F67C37"/>
    <w:rsid w:val="00F67D4E"/>
    <w:rsid w:val="00F67FFD"/>
    <w:rsid w:val="00F70036"/>
    <w:rsid w:val="00F700BC"/>
    <w:rsid w:val="00F701C6"/>
    <w:rsid w:val="00F70283"/>
    <w:rsid w:val="00F7075C"/>
    <w:rsid w:val="00F708A5"/>
    <w:rsid w:val="00F709AA"/>
    <w:rsid w:val="00F709EE"/>
    <w:rsid w:val="00F70AB2"/>
    <w:rsid w:val="00F70DC1"/>
    <w:rsid w:val="00F70EDB"/>
    <w:rsid w:val="00F70F2C"/>
    <w:rsid w:val="00F70FD7"/>
    <w:rsid w:val="00F7101B"/>
    <w:rsid w:val="00F71087"/>
    <w:rsid w:val="00F711F4"/>
    <w:rsid w:val="00F712B6"/>
    <w:rsid w:val="00F71351"/>
    <w:rsid w:val="00F713FA"/>
    <w:rsid w:val="00F714A1"/>
    <w:rsid w:val="00F7151F"/>
    <w:rsid w:val="00F7155C"/>
    <w:rsid w:val="00F71A37"/>
    <w:rsid w:val="00F71AFF"/>
    <w:rsid w:val="00F71B72"/>
    <w:rsid w:val="00F71E31"/>
    <w:rsid w:val="00F71F53"/>
    <w:rsid w:val="00F71FE4"/>
    <w:rsid w:val="00F720B7"/>
    <w:rsid w:val="00F720D9"/>
    <w:rsid w:val="00F72130"/>
    <w:rsid w:val="00F721FB"/>
    <w:rsid w:val="00F72262"/>
    <w:rsid w:val="00F722DF"/>
    <w:rsid w:val="00F723C1"/>
    <w:rsid w:val="00F72566"/>
    <w:rsid w:val="00F725CB"/>
    <w:rsid w:val="00F725FA"/>
    <w:rsid w:val="00F72693"/>
    <w:rsid w:val="00F728DA"/>
    <w:rsid w:val="00F72A36"/>
    <w:rsid w:val="00F72AC8"/>
    <w:rsid w:val="00F72B5B"/>
    <w:rsid w:val="00F72CCD"/>
    <w:rsid w:val="00F72D2F"/>
    <w:rsid w:val="00F72E62"/>
    <w:rsid w:val="00F72E7B"/>
    <w:rsid w:val="00F72EE0"/>
    <w:rsid w:val="00F72F30"/>
    <w:rsid w:val="00F72FBC"/>
    <w:rsid w:val="00F72FD3"/>
    <w:rsid w:val="00F73111"/>
    <w:rsid w:val="00F73120"/>
    <w:rsid w:val="00F73206"/>
    <w:rsid w:val="00F7322F"/>
    <w:rsid w:val="00F73313"/>
    <w:rsid w:val="00F733E2"/>
    <w:rsid w:val="00F73466"/>
    <w:rsid w:val="00F73644"/>
    <w:rsid w:val="00F73693"/>
    <w:rsid w:val="00F73748"/>
    <w:rsid w:val="00F737DB"/>
    <w:rsid w:val="00F73800"/>
    <w:rsid w:val="00F73811"/>
    <w:rsid w:val="00F7384F"/>
    <w:rsid w:val="00F73CC4"/>
    <w:rsid w:val="00F73DE0"/>
    <w:rsid w:val="00F73E37"/>
    <w:rsid w:val="00F73E91"/>
    <w:rsid w:val="00F73FAE"/>
    <w:rsid w:val="00F740F6"/>
    <w:rsid w:val="00F74251"/>
    <w:rsid w:val="00F7428A"/>
    <w:rsid w:val="00F74400"/>
    <w:rsid w:val="00F744BF"/>
    <w:rsid w:val="00F74529"/>
    <w:rsid w:val="00F7455E"/>
    <w:rsid w:val="00F745E8"/>
    <w:rsid w:val="00F746FA"/>
    <w:rsid w:val="00F7473F"/>
    <w:rsid w:val="00F747A4"/>
    <w:rsid w:val="00F74966"/>
    <w:rsid w:val="00F749C3"/>
    <w:rsid w:val="00F74A6B"/>
    <w:rsid w:val="00F74AFD"/>
    <w:rsid w:val="00F74D13"/>
    <w:rsid w:val="00F74DC4"/>
    <w:rsid w:val="00F74F43"/>
    <w:rsid w:val="00F74FA6"/>
    <w:rsid w:val="00F750F8"/>
    <w:rsid w:val="00F75151"/>
    <w:rsid w:val="00F7522E"/>
    <w:rsid w:val="00F752F5"/>
    <w:rsid w:val="00F7545E"/>
    <w:rsid w:val="00F754CF"/>
    <w:rsid w:val="00F7552A"/>
    <w:rsid w:val="00F75664"/>
    <w:rsid w:val="00F756A0"/>
    <w:rsid w:val="00F757D4"/>
    <w:rsid w:val="00F757EA"/>
    <w:rsid w:val="00F7582E"/>
    <w:rsid w:val="00F75867"/>
    <w:rsid w:val="00F758DF"/>
    <w:rsid w:val="00F75961"/>
    <w:rsid w:val="00F7597B"/>
    <w:rsid w:val="00F75B70"/>
    <w:rsid w:val="00F75DC7"/>
    <w:rsid w:val="00F76077"/>
    <w:rsid w:val="00F7613A"/>
    <w:rsid w:val="00F76179"/>
    <w:rsid w:val="00F762AE"/>
    <w:rsid w:val="00F76315"/>
    <w:rsid w:val="00F76390"/>
    <w:rsid w:val="00F763AE"/>
    <w:rsid w:val="00F76437"/>
    <w:rsid w:val="00F76536"/>
    <w:rsid w:val="00F76576"/>
    <w:rsid w:val="00F76649"/>
    <w:rsid w:val="00F7664C"/>
    <w:rsid w:val="00F767DE"/>
    <w:rsid w:val="00F767F8"/>
    <w:rsid w:val="00F7680F"/>
    <w:rsid w:val="00F7682B"/>
    <w:rsid w:val="00F76862"/>
    <w:rsid w:val="00F76891"/>
    <w:rsid w:val="00F768A3"/>
    <w:rsid w:val="00F76921"/>
    <w:rsid w:val="00F76C1D"/>
    <w:rsid w:val="00F76C63"/>
    <w:rsid w:val="00F76CBF"/>
    <w:rsid w:val="00F76D72"/>
    <w:rsid w:val="00F76E6F"/>
    <w:rsid w:val="00F76E74"/>
    <w:rsid w:val="00F76F63"/>
    <w:rsid w:val="00F77033"/>
    <w:rsid w:val="00F770C5"/>
    <w:rsid w:val="00F7728A"/>
    <w:rsid w:val="00F774FA"/>
    <w:rsid w:val="00F77595"/>
    <w:rsid w:val="00F775DE"/>
    <w:rsid w:val="00F776F1"/>
    <w:rsid w:val="00F7780D"/>
    <w:rsid w:val="00F77871"/>
    <w:rsid w:val="00F7795A"/>
    <w:rsid w:val="00F7795F"/>
    <w:rsid w:val="00F77A17"/>
    <w:rsid w:val="00F77B79"/>
    <w:rsid w:val="00F77BFA"/>
    <w:rsid w:val="00F77E68"/>
    <w:rsid w:val="00F77E83"/>
    <w:rsid w:val="00F77F05"/>
    <w:rsid w:val="00F77F6D"/>
    <w:rsid w:val="00F80113"/>
    <w:rsid w:val="00F80251"/>
    <w:rsid w:val="00F802AF"/>
    <w:rsid w:val="00F802E6"/>
    <w:rsid w:val="00F8034D"/>
    <w:rsid w:val="00F803F8"/>
    <w:rsid w:val="00F8047C"/>
    <w:rsid w:val="00F80567"/>
    <w:rsid w:val="00F806DA"/>
    <w:rsid w:val="00F8084D"/>
    <w:rsid w:val="00F809DD"/>
    <w:rsid w:val="00F80A90"/>
    <w:rsid w:val="00F80AC7"/>
    <w:rsid w:val="00F80C1E"/>
    <w:rsid w:val="00F80CB8"/>
    <w:rsid w:val="00F80D7B"/>
    <w:rsid w:val="00F80EAC"/>
    <w:rsid w:val="00F81200"/>
    <w:rsid w:val="00F8125E"/>
    <w:rsid w:val="00F8148D"/>
    <w:rsid w:val="00F814C5"/>
    <w:rsid w:val="00F81511"/>
    <w:rsid w:val="00F815D8"/>
    <w:rsid w:val="00F81661"/>
    <w:rsid w:val="00F81789"/>
    <w:rsid w:val="00F817A1"/>
    <w:rsid w:val="00F81967"/>
    <w:rsid w:val="00F81982"/>
    <w:rsid w:val="00F81999"/>
    <w:rsid w:val="00F81A0A"/>
    <w:rsid w:val="00F81A31"/>
    <w:rsid w:val="00F81A4A"/>
    <w:rsid w:val="00F81A91"/>
    <w:rsid w:val="00F81AAE"/>
    <w:rsid w:val="00F81B21"/>
    <w:rsid w:val="00F81BDE"/>
    <w:rsid w:val="00F81D72"/>
    <w:rsid w:val="00F81E4B"/>
    <w:rsid w:val="00F81F60"/>
    <w:rsid w:val="00F822BD"/>
    <w:rsid w:val="00F823A2"/>
    <w:rsid w:val="00F82426"/>
    <w:rsid w:val="00F825E8"/>
    <w:rsid w:val="00F82746"/>
    <w:rsid w:val="00F828DF"/>
    <w:rsid w:val="00F82B61"/>
    <w:rsid w:val="00F82C40"/>
    <w:rsid w:val="00F82C42"/>
    <w:rsid w:val="00F832A6"/>
    <w:rsid w:val="00F836E2"/>
    <w:rsid w:val="00F836F9"/>
    <w:rsid w:val="00F8370A"/>
    <w:rsid w:val="00F837BB"/>
    <w:rsid w:val="00F838E5"/>
    <w:rsid w:val="00F83B1A"/>
    <w:rsid w:val="00F83C24"/>
    <w:rsid w:val="00F83C83"/>
    <w:rsid w:val="00F83D73"/>
    <w:rsid w:val="00F83EB6"/>
    <w:rsid w:val="00F83F18"/>
    <w:rsid w:val="00F8416B"/>
    <w:rsid w:val="00F8435F"/>
    <w:rsid w:val="00F844C1"/>
    <w:rsid w:val="00F84554"/>
    <w:rsid w:val="00F84560"/>
    <w:rsid w:val="00F845D7"/>
    <w:rsid w:val="00F847C8"/>
    <w:rsid w:val="00F847CF"/>
    <w:rsid w:val="00F848A7"/>
    <w:rsid w:val="00F848B7"/>
    <w:rsid w:val="00F848C2"/>
    <w:rsid w:val="00F849DD"/>
    <w:rsid w:val="00F84A13"/>
    <w:rsid w:val="00F84AA6"/>
    <w:rsid w:val="00F84BE5"/>
    <w:rsid w:val="00F84C64"/>
    <w:rsid w:val="00F84C82"/>
    <w:rsid w:val="00F84D18"/>
    <w:rsid w:val="00F84DAA"/>
    <w:rsid w:val="00F84E54"/>
    <w:rsid w:val="00F84EE7"/>
    <w:rsid w:val="00F852B6"/>
    <w:rsid w:val="00F85480"/>
    <w:rsid w:val="00F85626"/>
    <w:rsid w:val="00F85654"/>
    <w:rsid w:val="00F85833"/>
    <w:rsid w:val="00F85997"/>
    <w:rsid w:val="00F859CE"/>
    <w:rsid w:val="00F85A0A"/>
    <w:rsid w:val="00F85AA8"/>
    <w:rsid w:val="00F85C50"/>
    <w:rsid w:val="00F85D5A"/>
    <w:rsid w:val="00F85D63"/>
    <w:rsid w:val="00F85F08"/>
    <w:rsid w:val="00F85F5D"/>
    <w:rsid w:val="00F85F81"/>
    <w:rsid w:val="00F8629B"/>
    <w:rsid w:val="00F862AE"/>
    <w:rsid w:val="00F864DB"/>
    <w:rsid w:val="00F866DC"/>
    <w:rsid w:val="00F866EE"/>
    <w:rsid w:val="00F86761"/>
    <w:rsid w:val="00F8685C"/>
    <w:rsid w:val="00F86974"/>
    <w:rsid w:val="00F86A0F"/>
    <w:rsid w:val="00F86BF7"/>
    <w:rsid w:val="00F86E81"/>
    <w:rsid w:val="00F86EEC"/>
    <w:rsid w:val="00F86EEF"/>
    <w:rsid w:val="00F86F60"/>
    <w:rsid w:val="00F86F82"/>
    <w:rsid w:val="00F86F85"/>
    <w:rsid w:val="00F86F99"/>
    <w:rsid w:val="00F87019"/>
    <w:rsid w:val="00F87462"/>
    <w:rsid w:val="00F8754C"/>
    <w:rsid w:val="00F877D3"/>
    <w:rsid w:val="00F87806"/>
    <w:rsid w:val="00F879D4"/>
    <w:rsid w:val="00F87AF8"/>
    <w:rsid w:val="00F87B54"/>
    <w:rsid w:val="00F87B9C"/>
    <w:rsid w:val="00F87BDC"/>
    <w:rsid w:val="00F87CAB"/>
    <w:rsid w:val="00F87DB4"/>
    <w:rsid w:val="00F87EA6"/>
    <w:rsid w:val="00F87F1F"/>
    <w:rsid w:val="00F9038F"/>
    <w:rsid w:val="00F9053B"/>
    <w:rsid w:val="00F9056A"/>
    <w:rsid w:val="00F906B3"/>
    <w:rsid w:val="00F906E6"/>
    <w:rsid w:val="00F90782"/>
    <w:rsid w:val="00F90966"/>
    <w:rsid w:val="00F909A1"/>
    <w:rsid w:val="00F90AD1"/>
    <w:rsid w:val="00F90D49"/>
    <w:rsid w:val="00F90E25"/>
    <w:rsid w:val="00F90E88"/>
    <w:rsid w:val="00F90EB5"/>
    <w:rsid w:val="00F90F77"/>
    <w:rsid w:val="00F9108E"/>
    <w:rsid w:val="00F9120E"/>
    <w:rsid w:val="00F913B6"/>
    <w:rsid w:val="00F91451"/>
    <w:rsid w:val="00F9152C"/>
    <w:rsid w:val="00F91595"/>
    <w:rsid w:val="00F915C5"/>
    <w:rsid w:val="00F91606"/>
    <w:rsid w:val="00F9160A"/>
    <w:rsid w:val="00F916C2"/>
    <w:rsid w:val="00F918F5"/>
    <w:rsid w:val="00F91A0C"/>
    <w:rsid w:val="00F91B78"/>
    <w:rsid w:val="00F91B94"/>
    <w:rsid w:val="00F91D88"/>
    <w:rsid w:val="00F91DF0"/>
    <w:rsid w:val="00F91F76"/>
    <w:rsid w:val="00F92069"/>
    <w:rsid w:val="00F921D6"/>
    <w:rsid w:val="00F92279"/>
    <w:rsid w:val="00F92340"/>
    <w:rsid w:val="00F92454"/>
    <w:rsid w:val="00F925E2"/>
    <w:rsid w:val="00F925EF"/>
    <w:rsid w:val="00F925F8"/>
    <w:rsid w:val="00F92613"/>
    <w:rsid w:val="00F9266E"/>
    <w:rsid w:val="00F926A7"/>
    <w:rsid w:val="00F926EF"/>
    <w:rsid w:val="00F92713"/>
    <w:rsid w:val="00F9278A"/>
    <w:rsid w:val="00F927C4"/>
    <w:rsid w:val="00F92814"/>
    <w:rsid w:val="00F92937"/>
    <w:rsid w:val="00F9296F"/>
    <w:rsid w:val="00F92B29"/>
    <w:rsid w:val="00F92BF5"/>
    <w:rsid w:val="00F92C99"/>
    <w:rsid w:val="00F92CCC"/>
    <w:rsid w:val="00F92CF1"/>
    <w:rsid w:val="00F92D04"/>
    <w:rsid w:val="00F92D16"/>
    <w:rsid w:val="00F92DEF"/>
    <w:rsid w:val="00F93070"/>
    <w:rsid w:val="00F9347F"/>
    <w:rsid w:val="00F934B5"/>
    <w:rsid w:val="00F93664"/>
    <w:rsid w:val="00F936AC"/>
    <w:rsid w:val="00F93836"/>
    <w:rsid w:val="00F93A97"/>
    <w:rsid w:val="00F93B9A"/>
    <w:rsid w:val="00F93CBE"/>
    <w:rsid w:val="00F93DA9"/>
    <w:rsid w:val="00F93F3E"/>
    <w:rsid w:val="00F93FBB"/>
    <w:rsid w:val="00F94071"/>
    <w:rsid w:val="00F940BF"/>
    <w:rsid w:val="00F940EC"/>
    <w:rsid w:val="00F941DA"/>
    <w:rsid w:val="00F94233"/>
    <w:rsid w:val="00F94321"/>
    <w:rsid w:val="00F9459B"/>
    <w:rsid w:val="00F94639"/>
    <w:rsid w:val="00F948AE"/>
    <w:rsid w:val="00F94A0B"/>
    <w:rsid w:val="00F94A63"/>
    <w:rsid w:val="00F94B81"/>
    <w:rsid w:val="00F94CE4"/>
    <w:rsid w:val="00F94FBB"/>
    <w:rsid w:val="00F9509A"/>
    <w:rsid w:val="00F951C8"/>
    <w:rsid w:val="00F95305"/>
    <w:rsid w:val="00F954AE"/>
    <w:rsid w:val="00F9559A"/>
    <w:rsid w:val="00F95600"/>
    <w:rsid w:val="00F956D9"/>
    <w:rsid w:val="00F957DD"/>
    <w:rsid w:val="00F95969"/>
    <w:rsid w:val="00F9596C"/>
    <w:rsid w:val="00F959F3"/>
    <w:rsid w:val="00F95A98"/>
    <w:rsid w:val="00F95ACA"/>
    <w:rsid w:val="00F95B59"/>
    <w:rsid w:val="00F95BCA"/>
    <w:rsid w:val="00F95CCA"/>
    <w:rsid w:val="00F95CD6"/>
    <w:rsid w:val="00F95CDA"/>
    <w:rsid w:val="00F95E67"/>
    <w:rsid w:val="00F95E9F"/>
    <w:rsid w:val="00F9616C"/>
    <w:rsid w:val="00F96173"/>
    <w:rsid w:val="00F96343"/>
    <w:rsid w:val="00F9642D"/>
    <w:rsid w:val="00F965DF"/>
    <w:rsid w:val="00F965FE"/>
    <w:rsid w:val="00F96637"/>
    <w:rsid w:val="00F96698"/>
    <w:rsid w:val="00F96712"/>
    <w:rsid w:val="00F9675A"/>
    <w:rsid w:val="00F96859"/>
    <w:rsid w:val="00F968B6"/>
    <w:rsid w:val="00F96900"/>
    <w:rsid w:val="00F96A19"/>
    <w:rsid w:val="00F96A43"/>
    <w:rsid w:val="00F96C74"/>
    <w:rsid w:val="00F96DC0"/>
    <w:rsid w:val="00F97120"/>
    <w:rsid w:val="00F97207"/>
    <w:rsid w:val="00F97547"/>
    <w:rsid w:val="00F9758C"/>
    <w:rsid w:val="00F97653"/>
    <w:rsid w:val="00F97705"/>
    <w:rsid w:val="00F97815"/>
    <w:rsid w:val="00F97847"/>
    <w:rsid w:val="00F97868"/>
    <w:rsid w:val="00F978DD"/>
    <w:rsid w:val="00F97BE7"/>
    <w:rsid w:val="00F97CD1"/>
    <w:rsid w:val="00F97E53"/>
    <w:rsid w:val="00F97FCF"/>
    <w:rsid w:val="00FA0000"/>
    <w:rsid w:val="00FA0136"/>
    <w:rsid w:val="00FA0195"/>
    <w:rsid w:val="00FA019C"/>
    <w:rsid w:val="00FA03B3"/>
    <w:rsid w:val="00FA04E4"/>
    <w:rsid w:val="00FA07A1"/>
    <w:rsid w:val="00FA08CE"/>
    <w:rsid w:val="00FA0A7C"/>
    <w:rsid w:val="00FA0A9B"/>
    <w:rsid w:val="00FA0C48"/>
    <w:rsid w:val="00FA0EF4"/>
    <w:rsid w:val="00FA0EF5"/>
    <w:rsid w:val="00FA1024"/>
    <w:rsid w:val="00FA108B"/>
    <w:rsid w:val="00FA12F9"/>
    <w:rsid w:val="00FA134D"/>
    <w:rsid w:val="00FA1376"/>
    <w:rsid w:val="00FA139B"/>
    <w:rsid w:val="00FA1439"/>
    <w:rsid w:val="00FA15AE"/>
    <w:rsid w:val="00FA15EE"/>
    <w:rsid w:val="00FA1877"/>
    <w:rsid w:val="00FA19C2"/>
    <w:rsid w:val="00FA1C2C"/>
    <w:rsid w:val="00FA1F1C"/>
    <w:rsid w:val="00FA1FB7"/>
    <w:rsid w:val="00FA2039"/>
    <w:rsid w:val="00FA207D"/>
    <w:rsid w:val="00FA20AE"/>
    <w:rsid w:val="00FA20C7"/>
    <w:rsid w:val="00FA211F"/>
    <w:rsid w:val="00FA217F"/>
    <w:rsid w:val="00FA2208"/>
    <w:rsid w:val="00FA2302"/>
    <w:rsid w:val="00FA230D"/>
    <w:rsid w:val="00FA23D0"/>
    <w:rsid w:val="00FA2400"/>
    <w:rsid w:val="00FA24AC"/>
    <w:rsid w:val="00FA24EF"/>
    <w:rsid w:val="00FA24FE"/>
    <w:rsid w:val="00FA2571"/>
    <w:rsid w:val="00FA26F5"/>
    <w:rsid w:val="00FA27C7"/>
    <w:rsid w:val="00FA2C06"/>
    <w:rsid w:val="00FA2C4A"/>
    <w:rsid w:val="00FA2C5E"/>
    <w:rsid w:val="00FA2C8E"/>
    <w:rsid w:val="00FA2D73"/>
    <w:rsid w:val="00FA2D7A"/>
    <w:rsid w:val="00FA2D7B"/>
    <w:rsid w:val="00FA2E71"/>
    <w:rsid w:val="00FA2EFF"/>
    <w:rsid w:val="00FA2F26"/>
    <w:rsid w:val="00FA311B"/>
    <w:rsid w:val="00FA32F9"/>
    <w:rsid w:val="00FA33BD"/>
    <w:rsid w:val="00FA3528"/>
    <w:rsid w:val="00FA3582"/>
    <w:rsid w:val="00FA3638"/>
    <w:rsid w:val="00FA3705"/>
    <w:rsid w:val="00FA377A"/>
    <w:rsid w:val="00FA379D"/>
    <w:rsid w:val="00FA37A2"/>
    <w:rsid w:val="00FA3820"/>
    <w:rsid w:val="00FA3838"/>
    <w:rsid w:val="00FA39A3"/>
    <w:rsid w:val="00FA39DF"/>
    <w:rsid w:val="00FA3D11"/>
    <w:rsid w:val="00FA3D4C"/>
    <w:rsid w:val="00FA3DE9"/>
    <w:rsid w:val="00FA3E6B"/>
    <w:rsid w:val="00FA4948"/>
    <w:rsid w:val="00FA4995"/>
    <w:rsid w:val="00FA49A5"/>
    <w:rsid w:val="00FA4A45"/>
    <w:rsid w:val="00FA4B93"/>
    <w:rsid w:val="00FA4D0D"/>
    <w:rsid w:val="00FA4D1B"/>
    <w:rsid w:val="00FA5025"/>
    <w:rsid w:val="00FA5035"/>
    <w:rsid w:val="00FA50E7"/>
    <w:rsid w:val="00FA51F4"/>
    <w:rsid w:val="00FA5341"/>
    <w:rsid w:val="00FA56B6"/>
    <w:rsid w:val="00FA5AD4"/>
    <w:rsid w:val="00FA5B96"/>
    <w:rsid w:val="00FA5BC6"/>
    <w:rsid w:val="00FA5E44"/>
    <w:rsid w:val="00FA5EC4"/>
    <w:rsid w:val="00FA5FD8"/>
    <w:rsid w:val="00FA5FE4"/>
    <w:rsid w:val="00FA6267"/>
    <w:rsid w:val="00FA6449"/>
    <w:rsid w:val="00FA644A"/>
    <w:rsid w:val="00FA6489"/>
    <w:rsid w:val="00FA65E5"/>
    <w:rsid w:val="00FA6841"/>
    <w:rsid w:val="00FA69D2"/>
    <w:rsid w:val="00FA6A22"/>
    <w:rsid w:val="00FA6D0E"/>
    <w:rsid w:val="00FA6F71"/>
    <w:rsid w:val="00FA6F9C"/>
    <w:rsid w:val="00FA7023"/>
    <w:rsid w:val="00FA7387"/>
    <w:rsid w:val="00FA73DF"/>
    <w:rsid w:val="00FA73E4"/>
    <w:rsid w:val="00FA7445"/>
    <w:rsid w:val="00FA78E5"/>
    <w:rsid w:val="00FA7910"/>
    <w:rsid w:val="00FA7926"/>
    <w:rsid w:val="00FA79AA"/>
    <w:rsid w:val="00FA7A4F"/>
    <w:rsid w:val="00FA7B93"/>
    <w:rsid w:val="00FA7C9B"/>
    <w:rsid w:val="00FA7D9C"/>
    <w:rsid w:val="00FA7E74"/>
    <w:rsid w:val="00FA7EAA"/>
    <w:rsid w:val="00FA7F29"/>
    <w:rsid w:val="00FA7F96"/>
    <w:rsid w:val="00FB00F7"/>
    <w:rsid w:val="00FB018A"/>
    <w:rsid w:val="00FB01A1"/>
    <w:rsid w:val="00FB0237"/>
    <w:rsid w:val="00FB026F"/>
    <w:rsid w:val="00FB02CE"/>
    <w:rsid w:val="00FB02D6"/>
    <w:rsid w:val="00FB04FB"/>
    <w:rsid w:val="00FB053E"/>
    <w:rsid w:val="00FB0666"/>
    <w:rsid w:val="00FB0677"/>
    <w:rsid w:val="00FB0783"/>
    <w:rsid w:val="00FB07ED"/>
    <w:rsid w:val="00FB083E"/>
    <w:rsid w:val="00FB08F1"/>
    <w:rsid w:val="00FB093E"/>
    <w:rsid w:val="00FB0A28"/>
    <w:rsid w:val="00FB0BA2"/>
    <w:rsid w:val="00FB0D19"/>
    <w:rsid w:val="00FB0D97"/>
    <w:rsid w:val="00FB0EFA"/>
    <w:rsid w:val="00FB10EC"/>
    <w:rsid w:val="00FB1142"/>
    <w:rsid w:val="00FB11D7"/>
    <w:rsid w:val="00FB12AC"/>
    <w:rsid w:val="00FB138B"/>
    <w:rsid w:val="00FB1666"/>
    <w:rsid w:val="00FB18C4"/>
    <w:rsid w:val="00FB194B"/>
    <w:rsid w:val="00FB19B7"/>
    <w:rsid w:val="00FB19C8"/>
    <w:rsid w:val="00FB1A67"/>
    <w:rsid w:val="00FB1A89"/>
    <w:rsid w:val="00FB1B3D"/>
    <w:rsid w:val="00FB1B90"/>
    <w:rsid w:val="00FB1CE5"/>
    <w:rsid w:val="00FB1D26"/>
    <w:rsid w:val="00FB1D6B"/>
    <w:rsid w:val="00FB1D88"/>
    <w:rsid w:val="00FB1F31"/>
    <w:rsid w:val="00FB1F5F"/>
    <w:rsid w:val="00FB2030"/>
    <w:rsid w:val="00FB2099"/>
    <w:rsid w:val="00FB20AA"/>
    <w:rsid w:val="00FB20E7"/>
    <w:rsid w:val="00FB210C"/>
    <w:rsid w:val="00FB213D"/>
    <w:rsid w:val="00FB22C2"/>
    <w:rsid w:val="00FB2327"/>
    <w:rsid w:val="00FB23B3"/>
    <w:rsid w:val="00FB23BC"/>
    <w:rsid w:val="00FB270B"/>
    <w:rsid w:val="00FB28FF"/>
    <w:rsid w:val="00FB2953"/>
    <w:rsid w:val="00FB2A7D"/>
    <w:rsid w:val="00FB2CD5"/>
    <w:rsid w:val="00FB2D0B"/>
    <w:rsid w:val="00FB2E85"/>
    <w:rsid w:val="00FB2E8E"/>
    <w:rsid w:val="00FB2EBC"/>
    <w:rsid w:val="00FB2EEA"/>
    <w:rsid w:val="00FB3096"/>
    <w:rsid w:val="00FB31AA"/>
    <w:rsid w:val="00FB31BF"/>
    <w:rsid w:val="00FB320A"/>
    <w:rsid w:val="00FB3213"/>
    <w:rsid w:val="00FB332E"/>
    <w:rsid w:val="00FB3522"/>
    <w:rsid w:val="00FB3609"/>
    <w:rsid w:val="00FB38E2"/>
    <w:rsid w:val="00FB38ED"/>
    <w:rsid w:val="00FB3C40"/>
    <w:rsid w:val="00FB3C4F"/>
    <w:rsid w:val="00FB3C83"/>
    <w:rsid w:val="00FB3CD9"/>
    <w:rsid w:val="00FB3D55"/>
    <w:rsid w:val="00FB3E32"/>
    <w:rsid w:val="00FB3EB6"/>
    <w:rsid w:val="00FB3F56"/>
    <w:rsid w:val="00FB4056"/>
    <w:rsid w:val="00FB40C2"/>
    <w:rsid w:val="00FB40D3"/>
    <w:rsid w:val="00FB420F"/>
    <w:rsid w:val="00FB4211"/>
    <w:rsid w:val="00FB4298"/>
    <w:rsid w:val="00FB438A"/>
    <w:rsid w:val="00FB45F0"/>
    <w:rsid w:val="00FB471F"/>
    <w:rsid w:val="00FB4982"/>
    <w:rsid w:val="00FB4A53"/>
    <w:rsid w:val="00FB4A8C"/>
    <w:rsid w:val="00FB4B83"/>
    <w:rsid w:val="00FB4C55"/>
    <w:rsid w:val="00FB4D21"/>
    <w:rsid w:val="00FB4DBF"/>
    <w:rsid w:val="00FB4DD8"/>
    <w:rsid w:val="00FB4EEF"/>
    <w:rsid w:val="00FB4F91"/>
    <w:rsid w:val="00FB5117"/>
    <w:rsid w:val="00FB5203"/>
    <w:rsid w:val="00FB5285"/>
    <w:rsid w:val="00FB533D"/>
    <w:rsid w:val="00FB5370"/>
    <w:rsid w:val="00FB548E"/>
    <w:rsid w:val="00FB54AF"/>
    <w:rsid w:val="00FB5517"/>
    <w:rsid w:val="00FB55A7"/>
    <w:rsid w:val="00FB57C9"/>
    <w:rsid w:val="00FB5852"/>
    <w:rsid w:val="00FB5AC2"/>
    <w:rsid w:val="00FB5E08"/>
    <w:rsid w:val="00FB5EC7"/>
    <w:rsid w:val="00FB60B2"/>
    <w:rsid w:val="00FB615F"/>
    <w:rsid w:val="00FB62AC"/>
    <w:rsid w:val="00FB631A"/>
    <w:rsid w:val="00FB635B"/>
    <w:rsid w:val="00FB63FA"/>
    <w:rsid w:val="00FB6511"/>
    <w:rsid w:val="00FB66AE"/>
    <w:rsid w:val="00FB6710"/>
    <w:rsid w:val="00FB68DE"/>
    <w:rsid w:val="00FB696D"/>
    <w:rsid w:val="00FB6986"/>
    <w:rsid w:val="00FB69F8"/>
    <w:rsid w:val="00FB6AB9"/>
    <w:rsid w:val="00FB6BC7"/>
    <w:rsid w:val="00FB6CC3"/>
    <w:rsid w:val="00FB6EBA"/>
    <w:rsid w:val="00FB6F5E"/>
    <w:rsid w:val="00FB6F5F"/>
    <w:rsid w:val="00FB7060"/>
    <w:rsid w:val="00FB71B8"/>
    <w:rsid w:val="00FB7464"/>
    <w:rsid w:val="00FB7513"/>
    <w:rsid w:val="00FB7533"/>
    <w:rsid w:val="00FB7543"/>
    <w:rsid w:val="00FB762B"/>
    <w:rsid w:val="00FB7881"/>
    <w:rsid w:val="00FB7B15"/>
    <w:rsid w:val="00FC00A1"/>
    <w:rsid w:val="00FC017F"/>
    <w:rsid w:val="00FC019B"/>
    <w:rsid w:val="00FC01D4"/>
    <w:rsid w:val="00FC0285"/>
    <w:rsid w:val="00FC030B"/>
    <w:rsid w:val="00FC033B"/>
    <w:rsid w:val="00FC04C6"/>
    <w:rsid w:val="00FC04F4"/>
    <w:rsid w:val="00FC0637"/>
    <w:rsid w:val="00FC0692"/>
    <w:rsid w:val="00FC099E"/>
    <w:rsid w:val="00FC0A89"/>
    <w:rsid w:val="00FC0C8E"/>
    <w:rsid w:val="00FC0D69"/>
    <w:rsid w:val="00FC113A"/>
    <w:rsid w:val="00FC11B8"/>
    <w:rsid w:val="00FC11E7"/>
    <w:rsid w:val="00FC127B"/>
    <w:rsid w:val="00FC12E2"/>
    <w:rsid w:val="00FC13F3"/>
    <w:rsid w:val="00FC1481"/>
    <w:rsid w:val="00FC14D4"/>
    <w:rsid w:val="00FC1541"/>
    <w:rsid w:val="00FC15FE"/>
    <w:rsid w:val="00FC1668"/>
    <w:rsid w:val="00FC19D6"/>
    <w:rsid w:val="00FC19FD"/>
    <w:rsid w:val="00FC1A8F"/>
    <w:rsid w:val="00FC1AFB"/>
    <w:rsid w:val="00FC1DE6"/>
    <w:rsid w:val="00FC1E1E"/>
    <w:rsid w:val="00FC1F3A"/>
    <w:rsid w:val="00FC20BC"/>
    <w:rsid w:val="00FC20BE"/>
    <w:rsid w:val="00FC20F0"/>
    <w:rsid w:val="00FC2138"/>
    <w:rsid w:val="00FC2205"/>
    <w:rsid w:val="00FC2222"/>
    <w:rsid w:val="00FC223F"/>
    <w:rsid w:val="00FC2294"/>
    <w:rsid w:val="00FC2347"/>
    <w:rsid w:val="00FC238F"/>
    <w:rsid w:val="00FC2395"/>
    <w:rsid w:val="00FC23D2"/>
    <w:rsid w:val="00FC2518"/>
    <w:rsid w:val="00FC2624"/>
    <w:rsid w:val="00FC26C9"/>
    <w:rsid w:val="00FC27F1"/>
    <w:rsid w:val="00FC2851"/>
    <w:rsid w:val="00FC28CF"/>
    <w:rsid w:val="00FC2987"/>
    <w:rsid w:val="00FC2AFF"/>
    <w:rsid w:val="00FC2B4B"/>
    <w:rsid w:val="00FC2BD6"/>
    <w:rsid w:val="00FC2BDC"/>
    <w:rsid w:val="00FC2C53"/>
    <w:rsid w:val="00FC2D58"/>
    <w:rsid w:val="00FC2E10"/>
    <w:rsid w:val="00FC3026"/>
    <w:rsid w:val="00FC304C"/>
    <w:rsid w:val="00FC33A8"/>
    <w:rsid w:val="00FC355C"/>
    <w:rsid w:val="00FC372F"/>
    <w:rsid w:val="00FC37F5"/>
    <w:rsid w:val="00FC39CD"/>
    <w:rsid w:val="00FC3A5F"/>
    <w:rsid w:val="00FC3D68"/>
    <w:rsid w:val="00FC3F68"/>
    <w:rsid w:val="00FC3FD4"/>
    <w:rsid w:val="00FC40DC"/>
    <w:rsid w:val="00FC4113"/>
    <w:rsid w:val="00FC4194"/>
    <w:rsid w:val="00FC41EC"/>
    <w:rsid w:val="00FC435A"/>
    <w:rsid w:val="00FC4446"/>
    <w:rsid w:val="00FC4588"/>
    <w:rsid w:val="00FC4835"/>
    <w:rsid w:val="00FC48D4"/>
    <w:rsid w:val="00FC4906"/>
    <w:rsid w:val="00FC4A5C"/>
    <w:rsid w:val="00FC4B9D"/>
    <w:rsid w:val="00FC5020"/>
    <w:rsid w:val="00FC503D"/>
    <w:rsid w:val="00FC507F"/>
    <w:rsid w:val="00FC50CD"/>
    <w:rsid w:val="00FC52A0"/>
    <w:rsid w:val="00FC52C0"/>
    <w:rsid w:val="00FC5305"/>
    <w:rsid w:val="00FC540C"/>
    <w:rsid w:val="00FC54B7"/>
    <w:rsid w:val="00FC5533"/>
    <w:rsid w:val="00FC554D"/>
    <w:rsid w:val="00FC55CE"/>
    <w:rsid w:val="00FC5961"/>
    <w:rsid w:val="00FC5A2A"/>
    <w:rsid w:val="00FC5ADE"/>
    <w:rsid w:val="00FC5B12"/>
    <w:rsid w:val="00FC5BE1"/>
    <w:rsid w:val="00FC5D6C"/>
    <w:rsid w:val="00FC5DD6"/>
    <w:rsid w:val="00FC607E"/>
    <w:rsid w:val="00FC6249"/>
    <w:rsid w:val="00FC6376"/>
    <w:rsid w:val="00FC63DD"/>
    <w:rsid w:val="00FC63F1"/>
    <w:rsid w:val="00FC6406"/>
    <w:rsid w:val="00FC640B"/>
    <w:rsid w:val="00FC64F5"/>
    <w:rsid w:val="00FC64FD"/>
    <w:rsid w:val="00FC6601"/>
    <w:rsid w:val="00FC67F7"/>
    <w:rsid w:val="00FC696D"/>
    <w:rsid w:val="00FC69A6"/>
    <w:rsid w:val="00FC6ACB"/>
    <w:rsid w:val="00FC6ADA"/>
    <w:rsid w:val="00FC6AF4"/>
    <w:rsid w:val="00FC6B1C"/>
    <w:rsid w:val="00FC6B81"/>
    <w:rsid w:val="00FC6CA5"/>
    <w:rsid w:val="00FC7043"/>
    <w:rsid w:val="00FC7126"/>
    <w:rsid w:val="00FC72AA"/>
    <w:rsid w:val="00FC740C"/>
    <w:rsid w:val="00FC745E"/>
    <w:rsid w:val="00FC74C1"/>
    <w:rsid w:val="00FC752A"/>
    <w:rsid w:val="00FC7588"/>
    <w:rsid w:val="00FC75BD"/>
    <w:rsid w:val="00FC77CE"/>
    <w:rsid w:val="00FC77E0"/>
    <w:rsid w:val="00FC792B"/>
    <w:rsid w:val="00FC7A22"/>
    <w:rsid w:val="00FC7AA2"/>
    <w:rsid w:val="00FC7AC1"/>
    <w:rsid w:val="00FC7BD3"/>
    <w:rsid w:val="00FC7DD6"/>
    <w:rsid w:val="00FC7E9C"/>
    <w:rsid w:val="00FD0035"/>
    <w:rsid w:val="00FD01D8"/>
    <w:rsid w:val="00FD03E2"/>
    <w:rsid w:val="00FD03FE"/>
    <w:rsid w:val="00FD047E"/>
    <w:rsid w:val="00FD0590"/>
    <w:rsid w:val="00FD05DD"/>
    <w:rsid w:val="00FD06FA"/>
    <w:rsid w:val="00FD07E2"/>
    <w:rsid w:val="00FD08A4"/>
    <w:rsid w:val="00FD0A9B"/>
    <w:rsid w:val="00FD0CE4"/>
    <w:rsid w:val="00FD0DF8"/>
    <w:rsid w:val="00FD110B"/>
    <w:rsid w:val="00FD12C0"/>
    <w:rsid w:val="00FD1334"/>
    <w:rsid w:val="00FD1393"/>
    <w:rsid w:val="00FD13F6"/>
    <w:rsid w:val="00FD1475"/>
    <w:rsid w:val="00FD148F"/>
    <w:rsid w:val="00FD14B3"/>
    <w:rsid w:val="00FD1585"/>
    <w:rsid w:val="00FD170F"/>
    <w:rsid w:val="00FD19F4"/>
    <w:rsid w:val="00FD1A8B"/>
    <w:rsid w:val="00FD1BB0"/>
    <w:rsid w:val="00FD1CB8"/>
    <w:rsid w:val="00FD1CD2"/>
    <w:rsid w:val="00FD1D19"/>
    <w:rsid w:val="00FD1DD2"/>
    <w:rsid w:val="00FD1EDE"/>
    <w:rsid w:val="00FD1F04"/>
    <w:rsid w:val="00FD1FFF"/>
    <w:rsid w:val="00FD202C"/>
    <w:rsid w:val="00FD2040"/>
    <w:rsid w:val="00FD2079"/>
    <w:rsid w:val="00FD210B"/>
    <w:rsid w:val="00FD2113"/>
    <w:rsid w:val="00FD21A0"/>
    <w:rsid w:val="00FD2202"/>
    <w:rsid w:val="00FD222E"/>
    <w:rsid w:val="00FD22CF"/>
    <w:rsid w:val="00FD2486"/>
    <w:rsid w:val="00FD2545"/>
    <w:rsid w:val="00FD2568"/>
    <w:rsid w:val="00FD275A"/>
    <w:rsid w:val="00FD27BD"/>
    <w:rsid w:val="00FD282D"/>
    <w:rsid w:val="00FD293B"/>
    <w:rsid w:val="00FD2AA9"/>
    <w:rsid w:val="00FD2C66"/>
    <w:rsid w:val="00FD2DA5"/>
    <w:rsid w:val="00FD2E77"/>
    <w:rsid w:val="00FD2EEC"/>
    <w:rsid w:val="00FD3068"/>
    <w:rsid w:val="00FD3207"/>
    <w:rsid w:val="00FD3258"/>
    <w:rsid w:val="00FD3270"/>
    <w:rsid w:val="00FD32C7"/>
    <w:rsid w:val="00FD33A4"/>
    <w:rsid w:val="00FD34BA"/>
    <w:rsid w:val="00FD3778"/>
    <w:rsid w:val="00FD378F"/>
    <w:rsid w:val="00FD3792"/>
    <w:rsid w:val="00FD38C6"/>
    <w:rsid w:val="00FD3B5D"/>
    <w:rsid w:val="00FD3C95"/>
    <w:rsid w:val="00FD3EB6"/>
    <w:rsid w:val="00FD4054"/>
    <w:rsid w:val="00FD40A1"/>
    <w:rsid w:val="00FD4136"/>
    <w:rsid w:val="00FD420F"/>
    <w:rsid w:val="00FD421C"/>
    <w:rsid w:val="00FD421F"/>
    <w:rsid w:val="00FD426C"/>
    <w:rsid w:val="00FD438D"/>
    <w:rsid w:val="00FD4431"/>
    <w:rsid w:val="00FD4473"/>
    <w:rsid w:val="00FD44F0"/>
    <w:rsid w:val="00FD461C"/>
    <w:rsid w:val="00FD4670"/>
    <w:rsid w:val="00FD4766"/>
    <w:rsid w:val="00FD4829"/>
    <w:rsid w:val="00FD484B"/>
    <w:rsid w:val="00FD48F0"/>
    <w:rsid w:val="00FD48F3"/>
    <w:rsid w:val="00FD4BBF"/>
    <w:rsid w:val="00FD4C72"/>
    <w:rsid w:val="00FD4E4D"/>
    <w:rsid w:val="00FD4E8F"/>
    <w:rsid w:val="00FD4EB2"/>
    <w:rsid w:val="00FD5054"/>
    <w:rsid w:val="00FD510D"/>
    <w:rsid w:val="00FD5496"/>
    <w:rsid w:val="00FD559B"/>
    <w:rsid w:val="00FD561B"/>
    <w:rsid w:val="00FD570F"/>
    <w:rsid w:val="00FD57FE"/>
    <w:rsid w:val="00FD58CC"/>
    <w:rsid w:val="00FD5928"/>
    <w:rsid w:val="00FD5BBF"/>
    <w:rsid w:val="00FD5C26"/>
    <w:rsid w:val="00FD5FB2"/>
    <w:rsid w:val="00FD5FCD"/>
    <w:rsid w:val="00FD5FE5"/>
    <w:rsid w:val="00FD603C"/>
    <w:rsid w:val="00FD6041"/>
    <w:rsid w:val="00FD6061"/>
    <w:rsid w:val="00FD6198"/>
    <w:rsid w:val="00FD63FB"/>
    <w:rsid w:val="00FD64C3"/>
    <w:rsid w:val="00FD650E"/>
    <w:rsid w:val="00FD657B"/>
    <w:rsid w:val="00FD65E2"/>
    <w:rsid w:val="00FD6733"/>
    <w:rsid w:val="00FD6B8F"/>
    <w:rsid w:val="00FD6BB3"/>
    <w:rsid w:val="00FD6BEB"/>
    <w:rsid w:val="00FD6CA9"/>
    <w:rsid w:val="00FD6D44"/>
    <w:rsid w:val="00FD6D4D"/>
    <w:rsid w:val="00FD6F56"/>
    <w:rsid w:val="00FD7043"/>
    <w:rsid w:val="00FD71D0"/>
    <w:rsid w:val="00FD723C"/>
    <w:rsid w:val="00FD72DE"/>
    <w:rsid w:val="00FD72ED"/>
    <w:rsid w:val="00FD730A"/>
    <w:rsid w:val="00FD7387"/>
    <w:rsid w:val="00FD73F9"/>
    <w:rsid w:val="00FD7485"/>
    <w:rsid w:val="00FD76C4"/>
    <w:rsid w:val="00FD7749"/>
    <w:rsid w:val="00FD7755"/>
    <w:rsid w:val="00FD7758"/>
    <w:rsid w:val="00FD77BB"/>
    <w:rsid w:val="00FD7802"/>
    <w:rsid w:val="00FD7832"/>
    <w:rsid w:val="00FD7939"/>
    <w:rsid w:val="00FD7B28"/>
    <w:rsid w:val="00FD7C4F"/>
    <w:rsid w:val="00FD7D8E"/>
    <w:rsid w:val="00FD7E79"/>
    <w:rsid w:val="00FD7F03"/>
    <w:rsid w:val="00FE0032"/>
    <w:rsid w:val="00FE0127"/>
    <w:rsid w:val="00FE0336"/>
    <w:rsid w:val="00FE0343"/>
    <w:rsid w:val="00FE03E2"/>
    <w:rsid w:val="00FE041D"/>
    <w:rsid w:val="00FE051C"/>
    <w:rsid w:val="00FE053C"/>
    <w:rsid w:val="00FE05B2"/>
    <w:rsid w:val="00FE0601"/>
    <w:rsid w:val="00FE0789"/>
    <w:rsid w:val="00FE07EE"/>
    <w:rsid w:val="00FE089D"/>
    <w:rsid w:val="00FE0C06"/>
    <w:rsid w:val="00FE0C5D"/>
    <w:rsid w:val="00FE0CCF"/>
    <w:rsid w:val="00FE0DFE"/>
    <w:rsid w:val="00FE0F3D"/>
    <w:rsid w:val="00FE0F8B"/>
    <w:rsid w:val="00FE0FEC"/>
    <w:rsid w:val="00FE1001"/>
    <w:rsid w:val="00FE10B6"/>
    <w:rsid w:val="00FE1100"/>
    <w:rsid w:val="00FE12BC"/>
    <w:rsid w:val="00FE13A0"/>
    <w:rsid w:val="00FE16B8"/>
    <w:rsid w:val="00FE199C"/>
    <w:rsid w:val="00FE1A15"/>
    <w:rsid w:val="00FE1AD7"/>
    <w:rsid w:val="00FE1B9A"/>
    <w:rsid w:val="00FE1BAB"/>
    <w:rsid w:val="00FE1E3E"/>
    <w:rsid w:val="00FE1E85"/>
    <w:rsid w:val="00FE1F0C"/>
    <w:rsid w:val="00FE1FDF"/>
    <w:rsid w:val="00FE202F"/>
    <w:rsid w:val="00FE20D2"/>
    <w:rsid w:val="00FE20E8"/>
    <w:rsid w:val="00FE2119"/>
    <w:rsid w:val="00FE219A"/>
    <w:rsid w:val="00FE228F"/>
    <w:rsid w:val="00FE22F9"/>
    <w:rsid w:val="00FE2323"/>
    <w:rsid w:val="00FE2329"/>
    <w:rsid w:val="00FE2335"/>
    <w:rsid w:val="00FE2341"/>
    <w:rsid w:val="00FE234F"/>
    <w:rsid w:val="00FE259F"/>
    <w:rsid w:val="00FE2667"/>
    <w:rsid w:val="00FE26E8"/>
    <w:rsid w:val="00FE27C4"/>
    <w:rsid w:val="00FE27E6"/>
    <w:rsid w:val="00FE282C"/>
    <w:rsid w:val="00FE284F"/>
    <w:rsid w:val="00FE2A85"/>
    <w:rsid w:val="00FE2A88"/>
    <w:rsid w:val="00FE2BE1"/>
    <w:rsid w:val="00FE2D40"/>
    <w:rsid w:val="00FE2D9E"/>
    <w:rsid w:val="00FE2ECE"/>
    <w:rsid w:val="00FE2F27"/>
    <w:rsid w:val="00FE2F44"/>
    <w:rsid w:val="00FE310A"/>
    <w:rsid w:val="00FE31E3"/>
    <w:rsid w:val="00FE32DC"/>
    <w:rsid w:val="00FE3309"/>
    <w:rsid w:val="00FE33CA"/>
    <w:rsid w:val="00FE3946"/>
    <w:rsid w:val="00FE3B00"/>
    <w:rsid w:val="00FE3C61"/>
    <w:rsid w:val="00FE3C8A"/>
    <w:rsid w:val="00FE3D26"/>
    <w:rsid w:val="00FE3EB6"/>
    <w:rsid w:val="00FE3EC5"/>
    <w:rsid w:val="00FE3F65"/>
    <w:rsid w:val="00FE403D"/>
    <w:rsid w:val="00FE41A9"/>
    <w:rsid w:val="00FE41F2"/>
    <w:rsid w:val="00FE4205"/>
    <w:rsid w:val="00FE4210"/>
    <w:rsid w:val="00FE4282"/>
    <w:rsid w:val="00FE42DE"/>
    <w:rsid w:val="00FE4391"/>
    <w:rsid w:val="00FE44C3"/>
    <w:rsid w:val="00FE4613"/>
    <w:rsid w:val="00FE46A9"/>
    <w:rsid w:val="00FE479A"/>
    <w:rsid w:val="00FE4857"/>
    <w:rsid w:val="00FE4906"/>
    <w:rsid w:val="00FE49A7"/>
    <w:rsid w:val="00FE4D9C"/>
    <w:rsid w:val="00FE502E"/>
    <w:rsid w:val="00FE5059"/>
    <w:rsid w:val="00FE5072"/>
    <w:rsid w:val="00FE50C4"/>
    <w:rsid w:val="00FE51B2"/>
    <w:rsid w:val="00FE544B"/>
    <w:rsid w:val="00FE55F3"/>
    <w:rsid w:val="00FE56E8"/>
    <w:rsid w:val="00FE5ADE"/>
    <w:rsid w:val="00FE5B4E"/>
    <w:rsid w:val="00FE5DA8"/>
    <w:rsid w:val="00FE5E43"/>
    <w:rsid w:val="00FE5F2F"/>
    <w:rsid w:val="00FE5FC1"/>
    <w:rsid w:val="00FE5FC6"/>
    <w:rsid w:val="00FE60FE"/>
    <w:rsid w:val="00FE61AB"/>
    <w:rsid w:val="00FE63BA"/>
    <w:rsid w:val="00FE64C0"/>
    <w:rsid w:val="00FE6600"/>
    <w:rsid w:val="00FE6621"/>
    <w:rsid w:val="00FE669F"/>
    <w:rsid w:val="00FE66AE"/>
    <w:rsid w:val="00FE6739"/>
    <w:rsid w:val="00FE677C"/>
    <w:rsid w:val="00FE6866"/>
    <w:rsid w:val="00FE6879"/>
    <w:rsid w:val="00FE6982"/>
    <w:rsid w:val="00FE6AC0"/>
    <w:rsid w:val="00FE6BD9"/>
    <w:rsid w:val="00FE6C72"/>
    <w:rsid w:val="00FE6EC2"/>
    <w:rsid w:val="00FE7194"/>
    <w:rsid w:val="00FE7237"/>
    <w:rsid w:val="00FE725A"/>
    <w:rsid w:val="00FE737F"/>
    <w:rsid w:val="00FE73F3"/>
    <w:rsid w:val="00FE7707"/>
    <w:rsid w:val="00FE77E7"/>
    <w:rsid w:val="00FE7932"/>
    <w:rsid w:val="00FE798B"/>
    <w:rsid w:val="00FE7C76"/>
    <w:rsid w:val="00FE7CA9"/>
    <w:rsid w:val="00FE7E64"/>
    <w:rsid w:val="00FE7F3D"/>
    <w:rsid w:val="00FE7F9B"/>
    <w:rsid w:val="00FF004E"/>
    <w:rsid w:val="00FF031B"/>
    <w:rsid w:val="00FF03DB"/>
    <w:rsid w:val="00FF03E3"/>
    <w:rsid w:val="00FF0412"/>
    <w:rsid w:val="00FF0513"/>
    <w:rsid w:val="00FF05E9"/>
    <w:rsid w:val="00FF06B2"/>
    <w:rsid w:val="00FF07C9"/>
    <w:rsid w:val="00FF0915"/>
    <w:rsid w:val="00FF0963"/>
    <w:rsid w:val="00FF099B"/>
    <w:rsid w:val="00FF0A92"/>
    <w:rsid w:val="00FF0AC3"/>
    <w:rsid w:val="00FF0B54"/>
    <w:rsid w:val="00FF0C9D"/>
    <w:rsid w:val="00FF0D18"/>
    <w:rsid w:val="00FF0D2B"/>
    <w:rsid w:val="00FF0DD1"/>
    <w:rsid w:val="00FF0DE9"/>
    <w:rsid w:val="00FF0EBC"/>
    <w:rsid w:val="00FF10A9"/>
    <w:rsid w:val="00FF1283"/>
    <w:rsid w:val="00FF13AC"/>
    <w:rsid w:val="00FF14AF"/>
    <w:rsid w:val="00FF155E"/>
    <w:rsid w:val="00FF160F"/>
    <w:rsid w:val="00FF1661"/>
    <w:rsid w:val="00FF1786"/>
    <w:rsid w:val="00FF1919"/>
    <w:rsid w:val="00FF1A75"/>
    <w:rsid w:val="00FF1D9B"/>
    <w:rsid w:val="00FF2052"/>
    <w:rsid w:val="00FF2081"/>
    <w:rsid w:val="00FF2083"/>
    <w:rsid w:val="00FF20EC"/>
    <w:rsid w:val="00FF2125"/>
    <w:rsid w:val="00FF2156"/>
    <w:rsid w:val="00FF2309"/>
    <w:rsid w:val="00FF2334"/>
    <w:rsid w:val="00FF241B"/>
    <w:rsid w:val="00FF2542"/>
    <w:rsid w:val="00FF2570"/>
    <w:rsid w:val="00FF2578"/>
    <w:rsid w:val="00FF26A3"/>
    <w:rsid w:val="00FF274C"/>
    <w:rsid w:val="00FF2764"/>
    <w:rsid w:val="00FF282F"/>
    <w:rsid w:val="00FF2A16"/>
    <w:rsid w:val="00FF2A29"/>
    <w:rsid w:val="00FF2B79"/>
    <w:rsid w:val="00FF2C45"/>
    <w:rsid w:val="00FF2DDF"/>
    <w:rsid w:val="00FF2E78"/>
    <w:rsid w:val="00FF2EAC"/>
    <w:rsid w:val="00FF2EE8"/>
    <w:rsid w:val="00FF2F3E"/>
    <w:rsid w:val="00FF3097"/>
    <w:rsid w:val="00FF30ED"/>
    <w:rsid w:val="00FF3332"/>
    <w:rsid w:val="00FF33A8"/>
    <w:rsid w:val="00FF34F4"/>
    <w:rsid w:val="00FF351F"/>
    <w:rsid w:val="00FF37D9"/>
    <w:rsid w:val="00FF37E5"/>
    <w:rsid w:val="00FF38CF"/>
    <w:rsid w:val="00FF3909"/>
    <w:rsid w:val="00FF391B"/>
    <w:rsid w:val="00FF3988"/>
    <w:rsid w:val="00FF3A7B"/>
    <w:rsid w:val="00FF3AA9"/>
    <w:rsid w:val="00FF3ABF"/>
    <w:rsid w:val="00FF3B5F"/>
    <w:rsid w:val="00FF3BC9"/>
    <w:rsid w:val="00FF3E34"/>
    <w:rsid w:val="00FF3E8E"/>
    <w:rsid w:val="00FF4070"/>
    <w:rsid w:val="00FF40AB"/>
    <w:rsid w:val="00FF4139"/>
    <w:rsid w:val="00FF41D1"/>
    <w:rsid w:val="00FF4229"/>
    <w:rsid w:val="00FF45A1"/>
    <w:rsid w:val="00FF485D"/>
    <w:rsid w:val="00FF493D"/>
    <w:rsid w:val="00FF49A4"/>
    <w:rsid w:val="00FF4D6D"/>
    <w:rsid w:val="00FF4D90"/>
    <w:rsid w:val="00FF4DC7"/>
    <w:rsid w:val="00FF4DDE"/>
    <w:rsid w:val="00FF50AF"/>
    <w:rsid w:val="00FF5130"/>
    <w:rsid w:val="00FF515A"/>
    <w:rsid w:val="00FF5171"/>
    <w:rsid w:val="00FF5230"/>
    <w:rsid w:val="00FF54B2"/>
    <w:rsid w:val="00FF5545"/>
    <w:rsid w:val="00FF561F"/>
    <w:rsid w:val="00FF5716"/>
    <w:rsid w:val="00FF57CD"/>
    <w:rsid w:val="00FF582A"/>
    <w:rsid w:val="00FF5942"/>
    <w:rsid w:val="00FF59A3"/>
    <w:rsid w:val="00FF59C1"/>
    <w:rsid w:val="00FF5B60"/>
    <w:rsid w:val="00FF5C95"/>
    <w:rsid w:val="00FF5D9F"/>
    <w:rsid w:val="00FF5F34"/>
    <w:rsid w:val="00FF5FAE"/>
    <w:rsid w:val="00FF5FEF"/>
    <w:rsid w:val="00FF6053"/>
    <w:rsid w:val="00FF626E"/>
    <w:rsid w:val="00FF6455"/>
    <w:rsid w:val="00FF65C1"/>
    <w:rsid w:val="00FF65D2"/>
    <w:rsid w:val="00FF68B6"/>
    <w:rsid w:val="00FF692B"/>
    <w:rsid w:val="00FF6981"/>
    <w:rsid w:val="00FF69F3"/>
    <w:rsid w:val="00FF6AE6"/>
    <w:rsid w:val="00FF6C0C"/>
    <w:rsid w:val="00FF6C4A"/>
    <w:rsid w:val="00FF6D29"/>
    <w:rsid w:val="00FF6D82"/>
    <w:rsid w:val="00FF6E39"/>
    <w:rsid w:val="00FF6E3B"/>
    <w:rsid w:val="00FF6FB1"/>
    <w:rsid w:val="00FF6FD0"/>
    <w:rsid w:val="00FF70D5"/>
    <w:rsid w:val="00FF728D"/>
    <w:rsid w:val="00FF73FB"/>
    <w:rsid w:val="00FF749B"/>
    <w:rsid w:val="00FF753A"/>
    <w:rsid w:val="00FF77CC"/>
    <w:rsid w:val="00FF77E9"/>
    <w:rsid w:val="00FF78B0"/>
    <w:rsid w:val="00FF78FA"/>
    <w:rsid w:val="00FF798E"/>
    <w:rsid w:val="00FF79BA"/>
    <w:rsid w:val="00FF7B2D"/>
    <w:rsid w:val="01345121"/>
    <w:rsid w:val="014A8B54"/>
    <w:rsid w:val="01DACFD5"/>
    <w:rsid w:val="01EA9905"/>
    <w:rsid w:val="0274BB1D"/>
    <w:rsid w:val="028FF1E7"/>
    <w:rsid w:val="02906758"/>
    <w:rsid w:val="02BE10CC"/>
    <w:rsid w:val="02CD3EB0"/>
    <w:rsid w:val="032A9354"/>
    <w:rsid w:val="036B07F6"/>
    <w:rsid w:val="03A9A92A"/>
    <w:rsid w:val="03E3222D"/>
    <w:rsid w:val="041068D0"/>
    <w:rsid w:val="04719DE0"/>
    <w:rsid w:val="04BF341E"/>
    <w:rsid w:val="04CB6C69"/>
    <w:rsid w:val="04FCDAC4"/>
    <w:rsid w:val="051C5873"/>
    <w:rsid w:val="052A5A6A"/>
    <w:rsid w:val="0550856E"/>
    <w:rsid w:val="0625C8D0"/>
    <w:rsid w:val="068DA0A5"/>
    <w:rsid w:val="077D7A8D"/>
    <w:rsid w:val="0837A3B5"/>
    <w:rsid w:val="08C249B5"/>
    <w:rsid w:val="08C50117"/>
    <w:rsid w:val="08D0F853"/>
    <w:rsid w:val="0926AE32"/>
    <w:rsid w:val="09FAA47F"/>
    <w:rsid w:val="0A34C327"/>
    <w:rsid w:val="0A3AA9E1"/>
    <w:rsid w:val="0AD1D35B"/>
    <w:rsid w:val="0B5583D8"/>
    <w:rsid w:val="0B5D0FE1"/>
    <w:rsid w:val="0B8D035F"/>
    <w:rsid w:val="0BBBCF02"/>
    <w:rsid w:val="0BF2DD77"/>
    <w:rsid w:val="0C79CF04"/>
    <w:rsid w:val="0C99E783"/>
    <w:rsid w:val="0D6D23E4"/>
    <w:rsid w:val="0DA1A0D3"/>
    <w:rsid w:val="0DF18D6D"/>
    <w:rsid w:val="0E27D119"/>
    <w:rsid w:val="0EADB3B8"/>
    <w:rsid w:val="0EF67861"/>
    <w:rsid w:val="0F370FAF"/>
    <w:rsid w:val="0F8968D4"/>
    <w:rsid w:val="0FACF9D7"/>
    <w:rsid w:val="0FB9033E"/>
    <w:rsid w:val="0FC55ADA"/>
    <w:rsid w:val="0FE34F57"/>
    <w:rsid w:val="0FF82417"/>
    <w:rsid w:val="105D7A54"/>
    <w:rsid w:val="11A18B4D"/>
    <w:rsid w:val="12A13B6F"/>
    <w:rsid w:val="12B72759"/>
    <w:rsid w:val="12FFE7CA"/>
    <w:rsid w:val="13896A29"/>
    <w:rsid w:val="13B8693E"/>
    <w:rsid w:val="13E31EC7"/>
    <w:rsid w:val="13EC74C2"/>
    <w:rsid w:val="140A4F95"/>
    <w:rsid w:val="1427DDA4"/>
    <w:rsid w:val="146D5864"/>
    <w:rsid w:val="147CC14C"/>
    <w:rsid w:val="1485E462"/>
    <w:rsid w:val="14DCEB1B"/>
    <w:rsid w:val="14E4262B"/>
    <w:rsid w:val="15514610"/>
    <w:rsid w:val="15EFED2A"/>
    <w:rsid w:val="16B7EAC2"/>
    <w:rsid w:val="16D22D5F"/>
    <w:rsid w:val="170C4BB9"/>
    <w:rsid w:val="176F3CCC"/>
    <w:rsid w:val="1824B690"/>
    <w:rsid w:val="18C82D56"/>
    <w:rsid w:val="18CA1ECE"/>
    <w:rsid w:val="19147D6B"/>
    <w:rsid w:val="1927E99B"/>
    <w:rsid w:val="1954450C"/>
    <w:rsid w:val="19AE06DA"/>
    <w:rsid w:val="19C0B139"/>
    <w:rsid w:val="19E6D033"/>
    <w:rsid w:val="1B300CFE"/>
    <w:rsid w:val="1B770E37"/>
    <w:rsid w:val="1BFC2702"/>
    <w:rsid w:val="1C043D22"/>
    <w:rsid w:val="1C0AD2F8"/>
    <w:rsid w:val="1D23FD52"/>
    <w:rsid w:val="1D5F2E42"/>
    <w:rsid w:val="1E28D3C4"/>
    <w:rsid w:val="1E6AB3AB"/>
    <w:rsid w:val="1E75A90B"/>
    <w:rsid w:val="1E908920"/>
    <w:rsid w:val="1E9BB0DD"/>
    <w:rsid w:val="1EA51F1E"/>
    <w:rsid w:val="1F00993C"/>
    <w:rsid w:val="1F0D6214"/>
    <w:rsid w:val="1F1B29B1"/>
    <w:rsid w:val="1F32125A"/>
    <w:rsid w:val="1F9C390A"/>
    <w:rsid w:val="1FF23F19"/>
    <w:rsid w:val="20432E3B"/>
    <w:rsid w:val="2071FEA2"/>
    <w:rsid w:val="20867318"/>
    <w:rsid w:val="20A10255"/>
    <w:rsid w:val="21753972"/>
    <w:rsid w:val="2224D177"/>
    <w:rsid w:val="22452EBA"/>
    <w:rsid w:val="22502D4D"/>
    <w:rsid w:val="22885F9B"/>
    <w:rsid w:val="22B9CA49"/>
    <w:rsid w:val="22BA500F"/>
    <w:rsid w:val="22D2DE25"/>
    <w:rsid w:val="2305C37D"/>
    <w:rsid w:val="23442AC7"/>
    <w:rsid w:val="2394813F"/>
    <w:rsid w:val="23BA65C4"/>
    <w:rsid w:val="2454C81C"/>
    <w:rsid w:val="246F9B9A"/>
    <w:rsid w:val="24CB3D30"/>
    <w:rsid w:val="24F272C9"/>
    <w:rsid w:val="24F35074"/>
    <w:rsid w:val="259570E5"/>
    <w:rsid w:val="26248F03"/>
    <w:rsid w:val="2647ED04"/>
    <w:rsid w:val="2654066B"/>
    <w:rsid w:val="265D5F70"/>
    <w:rsid w:val="26A2C29C"/>
    <w:rsid w:val="26F03595"/>
    <w:rsid w:val="2725F56A"/>
    <w:rsid w:val="276656F0"/>
    <w:rsid w:val="277AF0BA"/>
    <w:rsid w:val="28667A98"/>
    <w:rsid w:val="28A5B31B"/>
    <w:rsid w:val="29972448"/>
    <w:rsid w:val="2ABFFC26"/>
    <w:rsid w:val="2B5A6434"/>
    <w:rsid w:val="2C698828"/>
    <w:rsid w:val="2C78DD98"/>
    <w:rsid w:val="2CAA6625"/>
    <w:rsid w:val="2CEA0E16"/>
    <w:rsid w:val="2D0131DB"/>
    <w:rsid w:val="2D2428E0"/>
    <w:rsid w:val="2D446BAD"/>
    <w:rsid w:val="2D6B7BA2"/>
    <w:rsid w:val="2E94322F"/>
    <w:rsid w:val="2F02991E"/>
    <w:rsid w:val="2F190678"/>
    <w:rsid w:val="2F1F4624"/>
    <w:rsid w:val="2F788F7F"/>
    <w:rsid w:val="2F85B672"/>
    <w:rsid w:val="2F89A3EE"/>
    <w:rsid w:val="2FAAFE6C"/>
    <w:rsid w:val="2FF44063"/>
    <w:rsid w:val="302D76ED"/>
    <w:rsid w:val="303B8432"/>
    <w:rsid w:val="30D91DED"/>
    <w:rsid w:val="31A8269A"/>
    <w:rsid w:val="327DE16A"/>
    <w:rsid w:val="33A359AF"/>
    <w:rsid w:val="342AA9A1"/>
    <w:rsid w:val="3472790A"/>
    <w:rsid w:val="347D2C24"/>
    <w:rsid w:val="34E2F22E"/>
    <w:rsid w:val="34E84E5C"/>
    <w:rsid w:val="358B94AD"/>
    <w:rsid w:val="361E41EE"/>
    <w:rsid w:val="3641567F"/>
    <w:rsid w:val="36AB654C"/>
    <w:rsid w:val="36ED265D"/>
    <w:rsid w:val="372CEDA1"/>
    <w:rsid w:val="3757ACE7"/>
    <w:rsid w:val="37C85073"/>
    <w:rsid w:val="37FFBBFE"/>
    <w:rsid w:val="38099753"/>
    <w:rsid w:val="380CFC0B"/>
    <w:rsid w:val="388DF840"/>
    <w:rsid w:val="38BB7EE7"/>
    <w:rsid w:val="38EE268F"/>
    <w:rsid w:val="390E5023"/>
    <w:rsid w:val="392B647D"/>
    <w:rsid w:val="395056D7"/>
    <w:rsid w:val="395EFEAA"/>
    <w:rsid w:val="39B56C9A"/>
    <w:rsid w:val="39DB376E"/>
    <w:rsid w:val="3A0ACD4F"/>
    <w:rsid w:val="3BDDA4DF"/>
    <w:rsid w:val="3C2A0380"/>
    <w:rsid w:val="3C2CE204"/>
    <w:rsid w:val="3C7AF741"/>
    <w:rsid w:val="3C8534EC"/>
    <w:rsid w:val="3D6B7847"/>
    <w:rsid w:val="3D714158"/>
    <w:rsid w:val="3E00B8D4"/>
    <w:rsid w:val="3E8D4293"/>
    <w:rsid w:val="3E95758D"/>
    <w:rsid w:val="3ED0A8A2"/>
    <w:rsid w:val="3EE58B33"/>
    <w:rsid w:val="3F3BF734"/>
    <w:rsid w:val="3F867CC3"/>
    <w:rsid w:val="402B2E8D"/>
    <w:rsid w:val="408B450A"/>
    <w:rsid w:val="40EDFA79"/>
    <w:rsid w:val="41BD657A"/>
    <w:rsid w:val="420446D5"/>
    <w:rsid w:val="4207190E"/>
    <w:rsid w:val="42AF39B1"/>
    <w:rsid w:val="42BD43D0"/>
    <w:rsid w:val="42D8AADF"/>
    <w:rsid w:val="42E53D5C"/>
    <w:rsid w:val="42F1D344"/>
    <w:rsid w:val="430120DF"/>
    <w:rsid w:val="43153D97"/>
    <w:rsid w:val="435C645E"/>
    <w:rsid w:val="4389BD2B"/>
    <w:rsid w:val="43B866E1"/>
    <w:rsid w:val="43B985F6"/>
    <w:rsid w:val="455F1917"/>
    <w:rsid w:val="476ACAA2"/>
    <w:rsid w:val="47BC5364"/>
    <w:rsid w:val="4832F2F3"/>
    <w:rsid w:val="490A0270"/>
    <w:rsid w:val="4927F206"/>
    <w:rsid w:val="492FC5B7"/>
    <w:rsid w:val="496EC3A8"/>
    <w:rsid w:val="4A1315A4"/>
    <w:rsid w:val="4A7C2C62"/>
    <w:rsid w:val="4B573B0B"/>
    <w:rsid w:val="4B8CDE14"/>
    <w:rsid w:val="4BE965EA"/>
    <w:rsid w:val="4C9042A4"/>
    <w:rsid w:val="4C912740"/>
    <w:rsid w:val="4C944CD1"/>
    <w:rsid w:val="4CA76BDB"/>
    <w:rsid w:val="4CE36D57"/>
    <w:rsid w:val="4D4F5C6E"/>
    <w:rsid w:val="4D546667"/>
    <w:rsid w:val="4D858506"/>
    <w:rsid w:val="4DAB7364"/>
    <w:rsid w:val="4DB6C64B"/>
    <w:rsid w:val="4DD268FB"/>
    <w:rsid w:val="4EB23279"/>
    <w:rsid w:val="4EB4C711"/>
    <w:rsid w:val="4EE784EC"/>
    <w:rsid w:val="4F1D2ACC"/>
    <w:rsid w:val="4FD82678"/>
    <w:rsid w:val="50199739"/>
    <w:rsid w:val="502023C9"/>
    <w:rsid w:val="50314E2A"/>
    <w:rsid w:val="5078786A"/>
    <w:rsid w:val="519FB81E"/>
    <w:rsid w:val="51A5623A"/>
    <w:rsid w:val="52A1AFDA"/>
    <w:rsid w:val="52A24279"/>
    <w:rsid w:val="52FBB442"/>
    <w:rsid w:val="5329FEF9"/>
    <w:rsid w:val="533410A1"/>
    <w:rsid w:val="5349A1AE"/>
    <w:rsid w:val="534C4C06"/>
    <w:rsid w:val="53E29986"/>
    <w:rsid w:val="53E8C93B"/>
    <w:rsid w:val="547F27C7"/>
    <w:rsid w:val="54A9DD74"/>
    <w:rsid w:val="54B37C5A"/>
    <w:rsid w:val="54CC33BB"/>
    <w:rsid w:val="5834DCE5"/>
    <w:rsid w:val="588CD3A8"/>
    <w:rsid w:val="58E3D3B6"/>
    <w:rsid w:val="59211291"/>
    <w:rsid w:val="59DC4035"/>
    <w:rsid w:val="59EB80C2"/>
    <w:rsid w:val="5A1204F4"/>
    <w:rsid w:val="5A534364"/>
    <w:rsid w:val="5AEA1032"/>
    <w:rsid w:val="5B3AB32E"/>
    <w:rsid w:val="5B478A6F"/>
    <w:rsid w:val="5B50D542"/>
    <w:rsid w:val="5B7227A3"/>
    <w:rsid w:val="5B974B40"/>
    <w:rsid w:val="5C405500"/>
    <w:rsid w:val="5C6B6053"/>
    <w:rsid w:val="5C7C27CF"/>
    <w:rsid w:val="5CFF0236"/>
    <w:rsid w:val="5D6EF3BF"/>
    <w:rsid w:val="5DD64BFB"/>
    <w:rsid w:val="5E6045C9"/>
    <w:rsid w:val="5E856401"/>
    <w:rsid w:val="5EB3061C"/>
    <w:rsid w:val="5F9CCC19"/>
    <w:rsid w:val="5FB258BD"/>
    <w:rsid w:val="602AC1F8"/>
    <w:rsid w:val="602AEF77"/>
    <w:rsid w:val="60B98CD7"/>
    <w:rsid w:val="611663C8"/>
    <w:rsid w:val="61291311"/>
    <w:rsid w:val="61A0B5C6"/>
    <w:rsid w:val="63661D79"/>
    <w:rsid w:val="63BDA38C"/>
    <w:rsid w:val="6470AE4C"/>
    <w:rsid w:val="64771098"/>
    <w:rsid w:val="649BF620"/>
    <w:rsid w:val="65598A53"/>
    <w:rsid w:val="65EB5EFB"/>
    <w:rsid w:val="661C6C7F"/>
    <w:rsid w:val="6636E88F"/>
    <w:rsid w:val="66617AB7"/>
    <w:rsid w:val="66825A97"/>
    <w:rsid w:val="66F6D2BD"/>
    <w:rsid w:val="67C0D958"/>
    <w:rsid w:val="6895FDD6"/>
    <w:rsid w:val="68D8D332"/>
    <w:rsid w:val="69E3E0EE"/>
    <w:rsid w:val="6A4FD624"/>
    <w:rsid w:val="6A52AA80"/>
    <w:rsid w:val="6B481167"/>
    <w:rsid w:val="6B6400E0"/>
    <w:rsid w:val="6BDD826C"/>
    <w:rsid w:val="6C25AE7A"/>
    <w:rsid w:val="6D05C6F8"/>
    <w:rsid w:val="6D0F6978"/>
    <w:rsid w:val="6D45E572"/>
    <w:rsid w:val="6D73E435"/>
    <w:rsid w:val="6D8944D1"/>
    <w:rsid w:val="6E024644"/>
    <w:rsid w:val="6E59A5FC"/>
    <w:rsid w:val="6ECEDAC0"/>
    <w:rsid w:val="6F10C5C0"/>
    <w:rsid w:val="6F583084"/>
    <w:rsid w:val="6F633E43"/>
    <w:rsid w:val="701F38FE"/>
    <w:rsid w:val="70221E9B"/>
    <w:rsid w:val="702A6FBA"/>
    <w:rsid w:val="70D96D82"/>
    <w:rsid w:val="71282BAB"/>
    <w:rsid w:val="71BA41A5"/>
    <w:rsid w:val="71C86E6C"/>
    <w:rsid w:val="71ECB562"/>
    <w:rsid w:val="72183343"/>
    <w:rsid w:val="730AFF40"/>
    <w:rsid w:val="73249622"/>
    <w:rsid w:val="73F6107D"/>
    <w:rsid w:val="7411F9C1"/>
    <w:rsid w:val="74DE37BE"/>
    <w:rsid w:val="758947D4"/>
    <w:rsid w:val="758FFABA"/>
    <w:rsid w:val="7596B386"/>
    <w:rsid w:val="76EB569E"/>
    <w:rsid w:val="7708B0BE"/>
    <w:rsid w:val="7723BFAF"/>
    <w:rsid w:val="775AE487"/>
    <w:rsid w:val="779CCF70"/>
    <w:rsid w:val="77BB9DDF"/>
    <w:rsid w:val="77EAF486"/>
    <w:rsid w:val="78BD3566"/>
    <w:rsid w:val="78CE934F"/>
    <w:rsid w:val="78D31817"/>
    <w:rsid w:val="78E65823"/>
    <w:rsid w:val="7925E66B"/>
    <w:rsid w:val="7936EEA4"/>
    <w:rsid w:val="79B47CA1"/>
    <w:rsid w:val="79FE6EBC"/>
    <w:rsid w:val="7A24072C"/>
    <w:rsid w:val="7BE6A7E2"/>
    <w:rsid w:val="7C239A9B"/>
    <w:rsid w:val="7C2692DA"/>
    <w:rsid w:val="7C3EA958"/>
    <w:rsid w:val="7C4D892F"/>
    <w:rsid w:val="7C4F1474"/>
    <w:rsid w:val="7CF3812E"/>
    <w:rsid w:val="7D5B7532"/>
    <w:rsid w:val="7D97AFB4"/>
    <w:rsid w:val="7DD69D66"/>
    <w:rsid w:val="7DDF7A32"/>
    <w:rsid w:val="7E41862E"/>
    <w:rsid w:val="7E7FB7AB"/>
    <w:rsid w:val="7EAA581E"/>
    <w:rsid w:val="7F2A91E3"/>
    <w:rsid w:val="7FB237EC"/>
    <w:rsid w:val="7FD57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aliases w:val="ACCC Table"/>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AF2E50"/>
    <w:rPr>
      <w:rFonts w:ascii="Calibri Light" w:hAnsi="Calibri Light"/>
      <w:b/>
      <w:bCs/>
    </w:rPr>
  </w:style>
  <w:style w:type="character" w:customStyle="1" w:styleId="CommentSubjectChar">
    <w:name w:val="Comment Subject Char"/>
    <w:basedOn w:val="CommentTextChar"/>
    <w:link w:val="CommentSubject"/>
    <w:uiPriority w:val="99"/>
    <w:semiHidden/>
    <w:rsid w:val="00AF2E50"/>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unhideWhenUsed/>
    <w:rsid w:val="002B5233"/>
    <w:rPr>
      <w:color w:val="605E5C"/>
      <w:shd w:val="clear" w:color="auto" w:fill="E1DFDD"/>
    </w:rPr>
  </w:style>
  <w:style w:type="paragraph" w:styleId="Revision">
    <w:name w:val="Revision"/>
    <w:hidden/>
    <w:uiPriority w:val="99"/>
    <w:semiHidden/>
    <w:rsid w:val="00F47EF8"/>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qFormat/>
    <w:rsid w:val="002E3D7B"/>
    <w:rPr>
      <w:b/>
      <w:bCs/>
    </w:rPr>
  </w:style>
  <w:style w:type="character" w:styleId="Mention">
    <w:name w:val="Mention"/>
    <w:basedOn w:val="DefaultParagraphFont"/>
    <w:uiPriority w:val="99"/>
    <w:unhideWhenUsed/>
    <w:rsid w:val="00D05B49"/>
    <w:rPr>
      <w:color w:val="2B579A"/>
      <w:shd w:val="clear" w:color="auto" w:fill="E1DFDD"/>
    </w:rPr>
  </w:style>
  <w:style w:type="character" w:styleId="FollowedHyperlink">
    <w:name w:val="FollowedHyperlink"/>
    <w:basedOn w:val="DefaultParagraphFont"/>
    <w:uiPriority w:val="99"/>
    <w:semiHidden/>
    <w:unhideWhenUsed/>
    <w:rsid w:val="00841A3C"/>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564">
      <w:bodyDiv w:val="1"/>
      <w:marLeft w:val="0"/>
      <w:marRight w:val="0"/>
      <w:marTop w:val="0"/>
      <w:marBottom w:val="0"/>
      <w:divBdr>
        <w:top w:val="none" w:sz="0" w:space="0" w:color="auto"/>
        <w:left w:val="none" w:sz="0" w:space="0" w:color="auto"/>
        <w:bottom w:val="none" w:sz="0" w:space="0" w:color="auto"/>
        <w:right w:val="none" w:sz="0" w:space="0" w:color="auto"/>
      </w:divBdr>
    </w:div>
    <w:div w:id="76563093">
      <w:bodyDiv w:val="1"/>
      <w:marLeft w:val="0"/>
      <w:marRight w:val="0"/>
      <w:marTop w:val="0"/>
      <w:marBottom w:val="0"/>
      <w:divBdr>
        <w:top w:val="none" w:sz="0" w:space="0" w:color="auto"/>
        <w:left w:val="none" w:sz="0" w:space="0" w:color="auto"/>
        <w:bottom w:val="none" w:sz="0" w:space="0" w:color="auto"/>
        <w:right w:val="none" w:sz="0" w:space="0" w:color="auto"/>
      </w:divBdr>
    </w:div>
    <w:div w:id="82800136">
      <w:bodyDiv w:val="1"/>
      <w:marLeft w:val="0"/>
      <w:marRight w:val="0"/>
      <w:marTop w:val="0"/>
      <w:marBottom w:val="0"/>
      <w:divBdr>
        <w:top w:val="none" w:sz="0" w:space="0" w:color="auto"/>
        <w:left w:val="none" w:sz="0" w:space="0" w:color="auto"/>
        <w:bottom w:val="none" w:sz="0" w:space="0" w:color="auto"/>
        <w:right w:val="none" w:sz="0" w:space="0" w:color="auto"/>
      </w:divBdr>
    </w:div>
    <w:div w:id="88157631">
      <w:bodyDiv w:val="1"/>
      <w:marLeft w:val="0"/>
      <w:marRight w:val="0"/>
      <w:marTop w:val="0"/>
      <w:marBottom w:val="0"/>
      <w:divBdr>
        <w:top w:val="none" w:sz="0" w:space="0" w:color="auto"/>
        <w:left w:val="none" w:sz="0" w:space="0" w:color="auto"/>
        <w:bottom w:val="none" w:sz="0" w:space="0" w:color="auto"/>
        <w:right w:val="none" w:sz="0" w:space="0" w:color="auto"/>
      </w:divBdr>
    </w:div>
    <w:div w:id="129134472">
      <w:bodyDiv w:val="1"/>
      <w:marLeft w:val="0"/>
      <w:marRight w:val="0"/>
      <w:marTop w:val="0"/>
      <w:marBottom w:val="0"/>
      <w:divBdr>
        <w:top w:val="none" w:sz="0" w:space="0" w:color="auto"/>
        <w:left w:val="none" w:sz="0" w:space="0" w:color="auto"/>
        <w:bottom w:val="none" w:sz="0" w:space="0" w:color="auto"/>
        <w:right w:val="none" w:sz="0" w:space="0" w:color="auto"/>
      </w:divBdr>
    </w:div>
    <w:div w:id="169637843">
      <w:bodyDiv w:val="1"/>
      <w:marLeft w:val="0"/>
      <w:marRight w:val="0"/>
      <w:marTop w:val="0"/>
      <w:marBottom w:val="0"/>
      <w:divBdr>
        <w:top w:val="none" w:sz="0" w:space="0" w:color="auto"/>
        <w:left w:val="none" w:sz="0" w:space="0" w:color="auto"/>
        <w:bottom w:val="none" w:sz="0" w:space="0" w:color="auto"/>
        <w:right w:val="none" w:sz="0" w:space="0" w:color="auto"/>
      </w:divBdr>
    </w:div>
    <w:div w:id="177894421">
      <w:bodyDiv w:val="1"/>
      <w:marLeft w:val="0"/>
      <w:marRight w:val="0"/>
      <w:marTop w:val="0"/>
      <w:marBottom w:val="0"/>
      <w:divBdr>
        <w:top w:val="none" w:sz="0" w:space="0" w:color="auto"/>
        <w:left w:val="none" w:sz="0" w:space="0" w:color="auto"/>
        <w:bottom w:val="none" w:sz="0" w:space="0" w:color="auto"/>
        <w:right w:val="none" w:sz="0" w:space="0" w:color="auto"/>
      </w:divBdr>
    </w:div>
    <w:div w:id="273172224">
      <w:bodyDiv w:val="1"/>
      <w:marLeft w:val="0"/>
      <w:marRight w:val="0"/>
      <w:marTop w:val="0"/>
      <w:marBottom w:val="0"/>
      <w:divBdr>
        <w:top w:val="none" w:sz="0" w:space="0" w:color="auto"/>
        <w:left w:val="none" w:sz="0" w:space="0" w:color="auto"/>
        <w:bottom w:val="none" w:sz="0" w:space="0" w:color="auto"/>
        <w:right w:val="none" w:sz="0" w:space="0" w:color="auto"/>
      </w:divBdr>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325978021">
      <w:bodyDiv w:val="1"/>
      <w:marLeft w:val="0"/>
      <w:marRight w:val="0"/>
      <w:marTop w:val="0"/>
      <w:marBottom w:val="0"/>
      <w:divBdr>
        <w:top w:val="none" w:sz="0" w:space="0" w:color="auto"/>
        <w:left w:val="none" w:sz="0" w:space="0" w:color="auto"/>
        <w:bottom w:val="none" w:sz="0" w:space="0" w:color="auto"/>
        <w:right w:val="none" w:sz="0" w:space="0" w:color="auto"/>
      </w:divBdr>
    </w:div>
    <w:div w:id="422185029">
      <w:bodyDiv w:val="1"/>
      <w:marLeft w:val="0"/>
      <w:marRight w:val="0"/>
      <w:marTop w:val="0"/>
      <w:marBottom w:val="0"/>
      <w:divBdr>
        <w:top w:val="none" w:sz="0" w:space="0" w:color="auto"/>
        <w:left w:val="none" w:sz="0" w:space="0" w:color="auto"/>
        <w:bottom w:val="none" w:sz="0" w:space="0" w:color="auto"/>
        <w:right w:val="none" w:sz="0" w:space="0" w:color="auto"/>
      </w:divBdr>
    </w:div>
    <w:div w:id="42955098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86427915">
      <w:bodyDiv w:val="1"/>
      <w:marLeft w:val="0"/>
      <w:marRight w:val="0"/>
      <w:marTop w:val="0"/>
      <w:marBottom w:val="0"/>
      <w:divBdr>
        <w:top w:val="none" w:sz="0" w:space="0" w:color="auto"/>
        <w:left w:val="none" w:sz="0" w:space="0" w:color="auto"/>
        <w:bottom w:val="none" w:sz="0" w:space="0" w:color="auto"/>
        <w:right w:val="none" w:sz="0" w:space="0" w:color="auto"/>
      </w:divBdr>
    </w:div>
    <w:div w:id="647905482">
      <w:bodyDiv w:val="1"/>
      <w:marLeft w:val="0"/>
      <w:marRight w:val="0"/>
      <w:marTop w:val="0"/>
      <w:marBottom w:val="0"/>
      <w:divBdr>
        <w:top w:val="none" w:sz="0" w:space="0" w:color="auto"/>
        <w:left w:val="none" w:sz="0" w:space="0" w:color="auto"/>
        <w:bottom w:val="none" w:sz="0" w:space="0" w:color="auto"/>
        <w:right w:val="none" w:sz="0" w:space="0" w:color="auto"/>
      </w:divBdr>
    </w:div>
    <w:div w:id="65001432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7832504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55864519">
      <w:bodyDiv w:val="1"/>
      <w:marLeft w:val="0"/>
      <w:marRight w:val="0"/>
      <w:marTop w:val="0"/>
      <w:marBottom w:val="0"/>
      <w:divBdr>
        <w:top w:val="none" w:sz="0" w:space="0" w:color="auto"/>
        <w:left w:val="none" w:sz="0" w:space="0" w:color="auto"/>
        <w:bottom w:val="none" w:sz="0" w:space="0" w:color="auto"/>
        <w:right w:val="none" w:sz="0" w:space="0" w:color="auto"/>
      </w:divBdr>
    </w:div>
    <w:div w:id="980695895">
      <w:bodyDiv w:val="1"/>
      <w:marLeft w:val="0"/>
      <w:marRight w:val="0"/>
      <w:marTop w:val="0"/>
      <w:marBottom w:val="0"/>
      <w:divBdr>
        <w:top w:val="none" w:sz="0" w:space="0" w:color="auto"/>
        <w:left w:val="none" w:sz="0" w:space="0" w:color="auto"/>
        <w:bottom w:val="none" w:sz="0" w:space="0" w:color="auto"/>
        <w:right w:val="none" w:sz="0" w:space="0" w:color="auto"/>
      </w:divBdr>
    </w:div>
    <w:div w:id="1027831984">
      <w:bodyDiv w:val="1"/>
      <w:marLeft w:val="0"/>
      <w:marRight w:val="0"/>
      <w:marTop w:val="0"/>
      <w:marBottom w:val="0"/>
      <w:divBdr>
        <w:top w:val="none" w:sz="0" w:space="0" w:color="auto"/>
        <w:left w:val="none" w:sz="0" w:space="0" w:color="auto"/>
        <w:bottom w:val="none" w:sz="0" w:space="0" w:color="auto"/>
        <w:right w:val="none" w:sz="0" w:space="0" w:color="auto"/>
      </w:divBdr>
    </w:div>
    <w:div w:id="1199439999">
      <w:bodyDiv w:val="1"/>
      <w:marLeft w:val="0"/>
      <w:marRight w:val="0"/>
      <w:marTop w:val="0"/>
      <w:marBottom w:val="0"/>
      <w:divBdr>
        <w:top w:val="none" w:sz="0" w:space="0" w:color="auto"/>
        <w:left w:val="none" w:sz="0" w:space="0" w:color="auto"/>
        <w:bottom w:val="none" w:sz="0" w:space="0" w:color="auto"/>
        <w:right w:val="none" w:sz="0" w:space="0" w:color="auto"/>
      </w:divBdr>
    </w:div>
    <w:div w:id="1257590767">
      <w:bodyDiv w:val="1"/>
      <w:marLeft w:val="0"/>
      <w:marRight w:val="0"/>
      <w:marTop w:val="0"/>
      <w:marBottom w:val="0"/>
      <w:divBdr>
        <w:top w:val="none" w:sz="0" w:space="0" w:color="auto"/>
        <w:left w:val="none" w:sz="0" w:space="0" w:color="auto"/>
        <w:bottom w:val="none" w:sz="0" w:space="0" w:color="auto"/>
        <w:right w:val="none" w:sz="0" w:space="0" w:color="auto"/>
      </w:divBdr>
    </w:div>
    <w:div w:id="1556697228">
      <w:bodyDiv w:val="1"/>
      <w:marLeft w:val="0"/>
      <w:marRight w:val="0"/>
      <w:marTop w:val="0"/>
      <w:marBottom w:val="0"/>
      <w:divBdr>
        <w:top w:val="none" w:sz="0" w:space="0" w:color="auto"/>
        <w:left w:val="none" w:sz="0" w:space="0" w:color="auto"/>
        <w:bottom w:val="none" w:sz="0" w:space="0" w:color="auto"/>
        <w:right w:val="none" w:sz="0" w:space="0" w:color="auto"/>
      </w:divBdr>
    </w:div>
    <w:div w:id="1571697119">
      <w:bodyDiv w:val="1"/>
      <w:marLeft w:val="0"/>
      <w:marRight w:val="0"/>
      <w:marTop w:val="0"/>
      <w:marBottom w:val="0"/>
      <w:divBdr>
        <w:top w:val="none" w:sz="0" w:space="0" w:color="auto"/>
        <w:left w:val="none" w:sz="0" w:space="0" w:color="auto"/>
        <w:bottom w:val="none" w:sz="0" w:space="0" w:color="auto"/>
        <w:right w:val="none" w:sz="0" w:space="0" w:color="auto"/>
      </w:divBdr>
    </w:div>
    <w:div w:id="1577015427">
      <w:bodyDiv w:val="1"/>
      <w:marLeft w:val="0"/>
      <w:marRight w:val="0"/>
      <w:marTop w:val="0"/>
      <w:marBottom w:val="0"/>
      <w:divBdr>
        <w:top w:val="none" w:sz="0" w:space="0" w:color="auto"/>
        <w:left w:val="none" w:sz="0" w:space="0" w:color="auto"/>
        <w:bottom w:val="none" w:sz="0" w:space="0" w:color="auto"/>
        <w:right w:val="none" w:sz="0" w:space="0" w:color="auto"/>
      </w:divBdr>
    </w:div>
    <w:div w:id="1823617567">
      <w:bodyDiv w:val="1"/>
      <w:marLeft w:val="0"/>
      <w:marRight w:val="0"/>
      <w:marTop w:val="0"/>
      <w:marBottom w:val="0"/>
      <w:divBdr>
        <w:top w:val="none" w:sz="0" w:space="0" w:color="auto"/>
        <w:left w:val="none" w:sz="0" w:space="0" w:color="auto"/>
        <w:bottom w:val="none" w:sz="0" w:space="0" w:color="auto"/>
        <w:right w:val="none" w:sz="0" w:space="0" w:color="auto"/>
      </w:divBdr>
    </w:div>
    <w:div w:id="18379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image" Target="media/image7.emf"/><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32" Type="http://schemas.openxmlformats.org/officeDocument/2006/relationships/hyperlink" Target="https://www.ato.gov.au/tax-rates-and-codes/foreign-exchange-rates-annual-2024-financial-year" TargetMode="External"/><Relationship Id="rId37" Type="http://schemas.openxmlformats.org/officeDocument/2006/relationships/header" Target="header7.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image" Target="media/image9.emf"/><Relationship Id="rId10" Type="http://schemas.openxmlformats.org/officeDocument/2006/relationships/hyperlink" Target="http://creativecommons.org/licenses/by/3.0/au/legalcode" TargetMode="External"/><Relationship Id="rId19" Type="http://schemas.openxmlformats.org/officeDocument/2006/relationships/footer" Target="footer3.xml"/><Relationship Id="rId31" Type="http://schemas.openxmlformats.org/officeDocument/2006/relationships/hyperlink" Target="https://www.imf.org/external/datamapper/NGDPD@WEO/WEOWORLD/AUS/CAN/CHL/FRA/DEU/IRL/ESP/ITA/JPN/KOR/NOR/DNK/NLD"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yperlink" Target="https://www.ato.gov.au/tax-rates-and-codes/foreign-exchange-rates-annual-2024-financial-year" TargetMode="External"/><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image" Target="media/image6.emf"/><Relationship Id="rId38" Type="http://schemas.openxmlformats.org/officeDocument/2006/relationships/header" Target="header8.xml"/><Relationship Id="rId20" Type="http://schemas.openxmlformats.org/officeDocument/2006/relationships/footer" Target="footer4.xml"/><Relationship Id="rId41"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internationalcompetitionnetwork.org/wp-content/uploads/2018/05/MWG_SettingMergerNotificationThresholds.pdf" TargetMode="External"/><Relationship Id="rId18" Type="http://schemas.openxmlformats.org/officeDocument/2006/relationships/hyperlink" Target="https://one.oecd.org/document/DAF/COMP(2020)5/en/pdf" TargetMode="External"/><Relationship Id="rId26" Type="http://schemas.openxmlformats.org/officeDocument/2006/relationships/hyperlink" Target="https://legalinstruments.oecd.org/en/instruments/OECD-LEGAL-0333" TargetMode="External"/><Relationship Id="rId39" Type="http://schemas.openxmlformats.org/officeDocument/2006/relationships/hyperlink" Target="https://www.ato.gov.au/forms-and-instructions/deductions-for-prepaid-expenses-2023/small-business-entities" TargetMode="External"/><Relationship Id="rId21" Type="http://schemas.openxmlformats.org/officeDocument/2006/relationships/hyperlink" Target="https://onlinelibrary.wiley.com/doi/10.1111/1756-2171.12427" TargetMode="External"/><Relationship Id="rId34" Type="http://schemas.openxmlformats.org/officeDocument/2006/relationships/hyperlink" Target="https://www.oecd-ilibrary.org/finance-and-investment/assessment-of-merger-control-in-chile_674b1aff-en" TargetMode="External"/><Relationship Id="rId42" Type="http://schemas.openxmlformats.org/officeDocument/2006/relationships/hyperlink" Target="https://onlinelibrary.wiley.com/doi/full/10.1111/1467-8462.12185" TargetMode="External"/><Relationship Id="rId47" Type="http://schemas.openxmlformats.org/officeDocument/2006/relationships/hyperlink" Target="https://one.oecd.org/document/DAF/COMP/WD(2020)22/en/pdf" TargetMode="External"/><Relationship Id="rId50" Type="http://schemas.openxmlformats.org/officeDocument/2006/relationships/hyperlink" Target="https://one.oecd.org/document/DAF/COMP/WD(2020)28/en/pdf" TargetMode="External"/><Relationship Id="rId55" Type="http://schemas.openxmlformats.org/officeDocument/2006/relationships/hyperlink" Target="https://konkurransetilsynet.no/currently-reviewed/disclosure-requirements-continued-in-several-markets/?lang=en" TargetMode="External"/><Relationship Id="rId7" Type="http://schemas.openxmlformats.org/officeDocument/2006/relationships/hyperlink" Target="https://treasury.gov.au/consultation/c2024-554547" TargetMode="External"/><Relationship Id="rId2" Type="http://schemas.openxmlformats.org/officeDocument/2006/relationships/hyperlink" Target="https://treasury.gov.au/consultation/c2024-554547" TargetMode="External"/><Relationship Id="rId16" Type="http://schemas.openxmlformats.org/officeDocument/2006/relationships/hyperlink" Target="https://www.oecd-ilibrary.org/finance-and-investment/serial-acquisitions-and-industry-roll-ups_0b4362f8-en" TargetMode="External"/><Relationship Id="rId29" Type="http://schemas.openxmlformats.org/officeDocument/2006/relationships/hyperlink" Target="https://www.cnet.com/tech/services-and-software/facebooks-final-instagram-tab-715-million-in-cash-stock/" TargetMode="External"/><Relationship Id="rId11" Type="http://schemas.openxmlformats.org/officeDocument/2006/relationships/hyperlink" Target="https://www.oecd.org/en/publications/oecd-competition-trends-2022_a9c9f711-en.html" TargetMode="External"/><Relationship Id="rId24" Type="http://schemas.openxmlformats.org/officeDocument/2006/relationships/hyperlink" Target="https://one.oecd.org/document/DAF/COMP/WP3/M(2016)1/ANN3/FINAL/en/pdf" TargetMode="External"/><Relationship Id="rId32" Type="http://schemas.openxmlformats.org/officeDocument/2006/relationships/hyperlink" Target="https://treasury.gov.au/publication/p2024-517964" TargetMode="External"/><Relationship Id="rId37" Type="http://schemas.openxmlformats.org/officeDocument/2006/relationships/hyperlink" Target="https://www.ato.gov.au/about-ato/research-and-statistics/in-detail/tax-gap/previous-years-analysis/medium-business-income-tax-gap-2019-20/latest-estimates-and-trends" TargetMode="External"/><Relationship Id="rId40" Type="http://schemas.openxmlformats.org/officeDocument/2006/relationships/hyperlink" Target="https://www.abs.gov.au/statistics/economy/business-indicators/counts-australian-businesses-including-entries-and-exits/latest-release" TargetMode="External"/><Relationship Id="rId45" Type="http://schemas.openxmlformats.org/officeDocument/2006/relationships/hyperlink" Target="https://www.internationalcompetitionnetwork.org/wp-content/uploads/2018/09/MWG_NPRecPractices2018.pdf" TargetMode="External"/><Relationship Id="rId53" Type="http://schemas.openxmlformats.org/officeDocument/2006/relationships/hyperlink" Target="https://www.health.gov.au/topics/rural-health-workforce/classifications/mmm" TargetMode="External"/><Relationship Id="rId58" Type="http://schemas.openxmlformats.org/officeDocument/2006/relationships/hyperlink" Target="https://parlinfo.aph.gov.au/parlInfo/download/committees/reportsen/RB000320/toc_pdf/SupermarketPricesFinalreport.pdf" TargetMode="External"/><Relationship Id="rId5" Type="http://schemas.openxmlformats.org/officeDocument/2006/relationships/hyperlink" Target="https://eur-lex.europa.eu/legal-content/en/ALL/?uri=CELEX%3A32004R0139" TargetMode="External"/><Relationship Id="rId61" Type="http://schemas.openxmlformats.org/officeDocument/2006/relationships/hyperlink" Target="https://treasury.gov.au/sites/default/files/2024-01/Competition-Review-Mergers-FA.pdf" TargetMode="External"/><Relationship Id="rId19" Type="http://schemas.openxmlformats.org/officeDocument/2006/relationships/hyperlink" Target="https://one.oecd.org/document/DAF/COMP(2020)5/en/pdf" TargetMode="External"/><Relationship Id="rId14" Type="http://schemas.openxmlformats.org/officeDocument/2006/relationships/hyperlink" Target="https://econpapers.repec.org/article/ucpjlawec/doi_3a10.1086_2f675862.htm" TargetMode="External"/><Relationship Id="rId22" Type="http://schemas.openxmlformats.org/officeDocument/2006/relationships/hyperlink" Target="https://www.aeaweb.org/articles?id=10.1257/mic.6.4.407" TargetMode="External"/><Relationship Id="rId27" Type="http://schemas.openxmlformats.org/officeDocument/2006/relationships/hyperlink" Target="https://www.internationalcompetitionnetwork.org/working-groups/icn-operations/icn-recs/" TargetMode="External"/><Relationship Id="rId30" Type="http://schemas.openxmlformats.org/officeDocument/2006/relationships/hyperlink" Target="https://assets.publishing.service.gov.uk/media/555de2e5ed915d7ae200003b/facebook.pdf" TargetMode="External"/><Relationship Id="rId35" Type="http://schemas.openxmlformats.org/officeDocument/2006/relationships/hyperlink" Target="https://www.internationalcompetitionnetwork.org/wp-content/uploads/2018/05/MWG_SettingMergerNotificationThresholds.pdf" TargetMode="External"/><Relationship Id="rId43" Type="http://schemas.openxmlformats.org/officeDocument/2006/relationships/hyperlink" Target="https://www.pc.gov.au/inquiries/completed/productivity/report/productivity-volume3-future.pdf" TargetMode="External"/><Relationship Id="rId48" Type="http://schemas.openxmlformats.org/officeDocument/2006/relationships/hyperlink" Target="https://www.concorrencia.pt/sites/default/files/documentos/contributos-ocde/2020%20-%20CC%20-%20Start-ups%2C%20killer%20acquisitions%20and%20merger%20control.pdf" TargetMode="External"/><Relationship Id="rId56" Type="http://schemas.openxmlformats.org/officeDocument/2006/relationships/hyperlink" Target="https://www.gesetze-im-internet.de/englisch_gwb/englisch_gwb.html" TargetMode="External"/><Relationship Id="rId8" Type="http://schemas.openxmlformats.org/officeDocument/2006/relationships/hyperlink" Target="https://eur-lex.europa.eu/legal-content/EN/ALL/?uri=CELEX%3A52008XC0416%2808%29" TargetMode="External"/><Relationship Id="rId51" Type="http://schemas.openxmlformats.org/officeDocument/2006/relationships/hyperlink" Target="https://assets.publishing.service.gov.uk/media/61d71895e90e070375c22f1a/CMA2_guidance_publication.pdf" TargetMode="External"/><Relationship Id="rId3" Type="http://schemas.openxmlformats.org/officeDocument/2006/relationships/hyperlink" Target="https://www.internationalcompetitionnetwork.org/working-groups/icn-operations/icn-recs/" TargetMode="External"/><Relationship Id="rId12" Type="http://schemas.openxmlformats.org/officeDocument/2006/relationships/hyperlink" Target="https://www.oecd-ilibrary.org/finance-and-investment/assessment-of-merger-control-in-chile_674b1aff-en" TargetMode="External"/><Relationship Id="rId17" Type="http://schemas.openxmlformats.org/officeDocument/2006/relationships/hyperlink" Target="https://www.oecd-ilibrary.org/economics/oecd-economic-surveys-australia_19990146" TargetMode="External"/><Relationship Id="rId25" Type="http://schemas.openxmlformats.org/officeDocument/2006/relationships/hyperlink" Target="https://treasury.gov.au/sites/default/files/2024-01/Competition-Review-Mergers-FA.pdf" TargetMode="External"/><Relationship Id="rId33" Type="http://schemas.openxmlformats.org/officeDocument/2006/relationships/hyperlink" Target="https://www.oecd.org/en/publications/assessment-of-merger-control-in-the-philippines_4f76f1a7-en.html" TargetMode="External"/><Relationship Id="rId38" Type="http://schemas.openxmlformats.org/officeDocument/2006/relationships/hyperlink" Target="https://data.gov.au/data/dataset/corporate-transparency" TargetMode="External"/><Relationship Id="rId46" Type="http://schemas.openxmlformats.org/officeDocument/2006/relationships/hyperlink" Target="https://one.oecd.org/document/DAF/COMP/WP3/M(2016)1/ANN3/FINAL/en/pdf" TargetMode="External"/><Relationship Id="rId59" Type="http://schemas.openxmlformats.org/officeDocument/2006/relationships/hyperlink" Target="https://e61.in/wp-content/uploads/2023/08/The-State-of-Competition.pdf" TargetMode="External"/><Relationship Id="rId20" Type="http://schemas.openxmlformats.org/officeDocument/2006/relationships/hyperlink" Target="https://www.journals.uchicago.edu/doi/abs/10.1086/712506" TargetMode="External"/><Relationship Id="rId41" Type="http://schemas.openxmlformats.org/officeDocument/2006/relationships/hyperlink" Target="https://treasury.gov.au/publication/p2021-177591" TargetMode="External"/><Relationship Id="rId54" Type="http://schemas.openxmlformats.org/officeDocument/2006/relationships/hyperlink" Target="https://eur-lex.europa.eu/legal-content/EN/TXT/PDF/?uri=CELEX:52004XC0205(02)" TargetMode="External"/><Relationship Id="rId1" Type="http://schemas.openxmlformats.org/officeDocument/2006/relationships/hyperlink" Target="https://treasury.gov.au/publication/p2024-517964" TargetMode="External"/><Relationship Id="rId6" Type="http://schemas.openxmlformats.org/officeDocument/2006/relationships/hyperlink" Target="https://eur-lex.europa.eu/legal-content/EN/ALL/?uri=CELEX%3A52008XC0416%2808%29" TargetMode="External"/><Relationship Id="rId15" Type="http://schemas.openxmlformats.org/officeDocument/2006/relationships/hyperlink" Target="https://onlinelibrary.wiley.com/doi/10.1111/1756-2171.12427" TargetMode="External"/><Relationship Id="rId23" Type="http://schemas.openxmlformats.org/officeDocument/2006/relationships/hyperlink" Target="https://www.internationalcompetitionnetwork.org/wp-content/uploads/2018/09/MWG_NPRecPractices2018.pdf" TargetMode="External"/><Relationship Id="rId28" Type="http://schemas.openxmlformats.org/officeDocument/2006/relationships/hyperlink" Target="https://www.oecd.org/en/publications/oecd-competition-trends-2022_a9c9f711-en.html" TargetMode="External"/><Relationship Id="rId36" Type="http://schemas.openxmlformats.org/officeDocument/2006/relationships/hyperlink" Target="https://www.imf.org/external/datamapper/NGDPDPC@WEO/OEMDC/ADVEC/WEOWORLD" TargetMode="External"/><Relationship Id="rId49" Type="http://schemas.openxmlformats.org/officeDocument/2006/relationships/hyperlink" Target="https://www.oecd-ilibrary.org/governance/competition-law-and-policy-in-israel-2011_9789264097667-en" TargetMode="External"/><Relationship Id="rId57" Type="http://schemas.openxmlformats.org/officeDocument/2006/relationships/hyperlink" Target="https://www.accc.gov.au/system/files/merger-reform-submission.pdf" TargetMode="External"/><Relationship Id="rId10" Type="http://schemas.openxmlformats.org/officeDocument/2006/relationships/hyperlink" Target="https://treasury.gov.au/publication/p2024-517964" TargetMode="External"/><Relationship Id="rId31" Type="http://schemas.openxmlformats.org/officeDocument/2006/relationships/hyperlink" Target="https://www.bundeskartellamt.de/SharedDocs/Publikation/EN/Leitfaden/Leitfaden_Transaktionswertschwelle_2022.pdf?__blob=publicationFile&amp;v=2" TargetMode="External"/><Relationship Id="rId44" Type="http://schemas.openxmlformats.org/officeDocument/2006/relationships/hyperlink" Target="https://www.industry.gov.au/sites/default/files/2019-09/trends-in-market-concentration-of-australian-industries.pdf" TargetMode="External"/><Relationship Id="rId52" Type="http://schemas.openxmlformats.org/officeDocument/2006/relationships/hyperlink" Target="https://www.legislation.gov.uk/ukpga/2002/40/section/23" TargetMode="External"/><Relationship Id="rId60" Type="http://schemas.openxmlformats.org/officeDocument/2006/relationships/hyperlink" Target="https://www.accc.gov.au/about-us/accc-role-and-structure/statement-of-expectations-and-statement-of-intent" TargetMode="External"/><Relationship Id="rId4" Type="http://schemas.openxmlformats.org/officeDocument/2006/relationships/hyperlink" Target="https://one.oecd.org/document/DAF/COMP(2017)10/en/pdf" TargetMode="External"/><Relationship Id="rId9" Type="http://schemas.openxmlformats.org/officeDocument/2006/relationships/hyperlink" Target="https://treasury.gov.au/consultation/c2024-554547"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B02A2695C46449A787294225D8500"/>
        <w:category>
          <w:name w:val="General"/>
          <w:gallery w:val="placeholder"/>
        </w:category>
        <w:types>
          <w:type w:val="bbPlcHdr"/>
        </w:types>
        <w:behaviors>
          <w:behavior w:val="content"/>
        </w:behaviors>
        <w:guid w:val="{7D127B47-6C87-4C91-A871-B5E0885BD8E5}"/>
      </w:docPartPr>
      <w:docPartBody>
        <w:p w:rsidR="009F77EC" w:rsidRDefault="009F77EC" w:rsidP="009F77EC">
          <w:pPr>
            <w:pStyle w:val="D9DB02A2695C46449A787294225D8500"/>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BC"/>
    <w:rsid w:val="00004A4D"/>
    <w:rsid w:val="00067E44"/>
    <w:rsid w:val="00086BB5"/>
    <w:rsid w:val="0009168F"/>
    <w:rsid w:val="000C2DFD"/>
    <w:rsid w:val="000F18FA"/>
    <w:rsid w:val="001233AA"/>
    <w:rsid w:val="00127D56"/>
    <w:rsid w:val="00186F55"/>
    <w:rsid w:val="0019093F"/>
    <w:rsid w:val="00196CC8"/>
    <w:rsid w:val="001C2700"/>
    <w:rsid w:val="001D7E9C"/>
    <w:rsid w:val="001E0B3D"/>
    <w:rsid w:val="001E6177"/>
    <w:rsid w:val="001F0DDA"/>
    <w:rsid w:val="00202310"/>
    <w:rsid w:val="00230D4C"/>
    <w:rsid w:val="00241AC7"/>
    <w:rsid w:val="002634FE"/>
    <w:rsid w:val="00263513"/>
    <w:rsid w:val="00282BB9"/>
    <w:rsid w:val="00287689"/>
    <w:rsid w:val="002A72E3"/>
    <w:rsid w:val="002B365F"/>
    <w:rsid w:val="002C2AB3"/>
    <w:rsid w:val="002F1AC1"/>
    <w:rsid w:val="0033717F"/>
    <w:rsid w:val="003417CB"/>
    <w:rsid w:val="003C155C"/>
    <w:rsid w:val="003C3677"/>
    <w:rsid w:val="003D2268"/>
    <w:rsid w:val="003E26EC"/>
    <w:rsid w:val="003E6E27"/>
    <w:rsid w:val="003F155E"/>
    <w:rsid w:val="0045476A"/>
    <w:rsid w:val="0045690F"/>
    <w:rsid w:val="004A3F2D"/>
    <w:rsid w:val="004C76AB"/>
    <w:rsid w:val="004D3D65"/>
    <w:rsid w:val="004D476A"/>
    <w:rsid w:val="00527564"/>
    <w:rsid w:val="00542B85"/>
    <w:rsid w:val="005575E6"/>
    <w:rsid w:val="00574C12"/>
    <w:rsid w:val="00582D16"/>
    <w:rsid w:val="005C0FEB"/>
    <w:rsid w:val="005E418A"/>
    <w:rsid w:val="005E5DFD"/>
    <w:rsid w:val="005E71D9"/>
    <w:rsid w:val="00604C55"/>
    <w:rsid w:val="0060505A"/>
    <w:rsid w:val="006619C2"/>
    <w:rsid w:val="006A0573"/>
    <w:rsid w:val="006B46F5"/>
    <w:rsid w:val="006C1032"/>
    <w:rsid w:val="006D390C"/>
    <w:rsid w:val="006F0375"/>
    <w:rsid w:val="007407A8"/>
    <w:rsid w:val="00760CA7"/>
    <w:rsid w:val="0079717C"/>
    <w:rsid w:val="0079798D"/>
    <w:rsid w:val="007B3B7C"/>
    <w:rsid w:val="00813E86"/>
    <w:rsid w:val="008161A2"/>
    <w:rsid w:val="00833CEB"/>
    <w:rsid w:val="00857A7A"/>
    <w:rsid w:val="00874668"/>
    <w:rsid w:val="00887EA2"/>
    <w:rsid w:val="008901F4"/>
    <w:rsid w:val="008942E5"/>
    <w:rsid w:val="008C60A8"/>
    <w:rsid w:val="008C760D"/>
    <w:rsid w:val="008D69C3"/>
    <w:rsid w:val="0090310D"/>
    <w:rsid w:val="00916460"/>
    <w:rsid w:val="009631AB"/>
    <w:rsid w:val="009641D5"/>
    <w:rsid w:val="00980264"/>
    <w:rsid w:val="009C24AF"/>
    <w:rsid w:val="009F575B"/>
    <w:rsid w:val="009F77EC"/>
    <w:rsid w:val="00A074D2"/>
    <w:rsid w:val="00A356AF"/>
    <w:rsid w:val="00A50939"/>
    <w:rsid w:val="00A716B4"/>
    <w:rsid w:val="00AB67B6"/>
    <w:rsid w:val="00AD09B7"/>
    <w:rsid w:val="00B07C7A"/>
    <w:rsid w:val="00B43DA1"/>
    <w:rsid w:val="00B81232"/>
    <w:rsid w:val="00BA5558"/>
    <w:rsid w:val="00BB1DA8"/>
    <w:rsid w:val="00BE6EBC"/>
    <w:rsid w:val="00C342D3"/>
    <w:rsid w:val="00C61E97"/>
    <w:rsid w:val="00C83F0C"/>
    <w:rsid w:val="00CB17F4"/>
    <w:rsid w:val="00CD27E3"/>
    <w:rsid w:val="00D305C3"/>
    <w:rsid w:val="00D8758E"/>
    <w:rsid w:val="00DB589C"/>
    <w:rsid w:val="00DB735A"/>
    <w:rsid w:val="00DD7F9F"/>
    <w:rsid w:val="00DE6283"/>
    <w:rsid w:val="00E3114A"/>
    <w:rsid w:val="00E6304D"/>
    <w:rsid w:val="00E73D96"/>
    <w:rsid w:val="00EA47F7"/>
    <w:rsid w:val="00EB6FCF"/>
    <w:rsid w:val="00EC6B61"/>
    <w:rsid w:val="00EE179E"/>
    <w:rsid w:val="00F44B87"/>
    <w:rsid w:val="00F52939"/>
    <w:rsid w:val="00F605D6"/>
    <w:rsid w:val="00FD25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B151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7EC"/>
    <w:rPr>
      <w:color w:val="808080"/>
    </w:rPr>
  </w:style>
  <w:style w:type="paragraph" w:customStyle="1" w:styleId="D9DB02A2695C46449A787294225D8500">
    <w:name w:val="D9DB02A2695C46449A787294225D8500"/>
    <w:rsid w:val="009F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1873-D536-46C2-827F-88405FA4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9927</Words>
  <Characters>56693</Characters>
  <Application>Microsoft Office Word</Application>
  <DocSecurity>0</DocSecurity>
  <Lines>1027</Lines>
  <Paragraphs>402</Paragraphs>
  <ScaleCrop>false</ScaleCrop>
  <HeadingPairs>
    <vt:vector size="2" baseType="variant">
      <vt:variant>
        <vt:lpstr>Title</vt:lpstr>
      </vt:variant>
      <vt:variant>
        <vt:i4>1</vt:i4>
      </vt:variant>
    </vt:vector>
  </HeadingPairs>
  <TitlesOfParts>
    <vt:vector size="1" baseType="lpstr">
      <vt:lpstr>Consultation paper: Merger Notification Thresholds</vt:lpstr>
    </vt:vector>
  </TitlesOfParts>
  <Company/>
  <LinksUpToDate>false</LinksUpToDate>
  <CharactersWithSpaces>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Merger Notification Thresholds</dc:title>
  <dc:subject/>
  <dc:creator/>
  <cp:keywords/>
  <cp:lastModifiedBy/>
  <cp:revision>1</cp:revision>
  <dcterms:created xsi:type="dcterms:W3CDTF">2024-09-13T00:51:00Z</dcterms:created>
  <dcterms:modified xsi:type="dcterms:W3CDTF">2024-09-13T00:52:00Z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2024-09-13T00:52:23Z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038d1f83-38f7-42b4-bd58-05db5224656b</vt:lpwstr>
  </property>
  <property fmtid="{D5CDD505-2E9C-101B-9397-08002B2CF9AE}" pid="8" name="MSIP_Label_4f932d64-9ab1-4d9b-81d2-a3a8b82dd47d_ContentBits">
    <vt:lpwstr>0</vt:lpwstr>
  </property>
</Properties>
</file>