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C498" w14:textId="2EB4EEC3" w:rsidR="00E24AA1" w:rsidRDefault="007B4AEC" w:rsidP="00E24AA1">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t>2024</w:t>
      </w:r>
    </w:p>
    <w:p w14:paraId="776FDE0C" w14:textId="77777777" w:rsidR="00E24AA1" w:rsidRDefault="00E24AA1" w:rsidP="00E24AA1">
      <w:pPr>
        <w:pStyle w:val="Baseparagraphcentred"/>
      </w:pPr>
    </w:p>
    <w:p w14:paraId="19A6629B" w14:textId="77777777" w:rsidR="00E24AA1" w:rsidRDefault="00E24AA1" w:rsidP="00E24AA1">
      <w:pPr>
        <w:pStyle w:val="Baseparagraphcentred"/>
      </w:pPr>
      <w:r>
        <w:t>THE PARLIAMENT OF THE COMMONWEALTH OF AUSTRALIA</w:t>
      </w:r>
    </w:p>
    <w:p w14:paraId="1F218BAF" w14:textId="77777777" w:rsidR="00E24AA1" w:rsidRDefault="00E24AA1" w:rsidP="00E24AA1">
      <w:pPr>
        <w:pStyle w:val="Baseparagraphcentred"/>
      </w:pPr>
    </w:p>
    <w:p w14:paraId="64F874F7" w14:textId="77777777" w:rsidR="00E24AA1" w:rsidRDefault="00E24AA1" w:rsidP="00E24AA1">
      <w:pPr>
        <w:pStyle w:val="Baseparagraphcentred"/>
      </w:pPr>
    </w:p>
    <w:p w14:paraId="2AAC1102" w14:textId="77777777" w:rsidR="00E24AA1" w:rsidRDefault="00E24AA1" w:rsidP="00E24AA1">
      <w:pPr>
        <w:pStyle w:val="Baseparagraphcentred"/>
      </w:pPr>
    </w:p>
    <w:p w14:paraId="26153512" w14:textId="394BDEF3" w:rsidR="000A4EB2" w:rsidRDefault="00ED3956" w:rsidP="000A4EB2">
      <w:pPr>
        <w:pStyle w:val="Baseparagraphcentred"/>
      </w:pPr>
      <w:r>
        <w:t>HOUSE OF REPRESENTATIVES</w:t>
      </w:r>
    </w:p>
    <w:p w14:paraId="16A1C7FC" w14:textId="77777777" w:rsidR="00E24AA1" w:rsidRDefault="00E24AA1" w:rsidP="00E24AA1">
      <w:pPr>
        <w:pStyle w:val="Baseparagraphcentred"/>
      </w:pPr>
    </w:p>
    <w:p w14:paraId="5781DD38" w14:textId="77777777" w:rsidR="00E24AA1" w:rsidRDefault="00E24AA1" w:rsidP="00E24AA1">
      <w:pPr>
        <w:pStyle w:val="Baseparagraphcentred"/>
      </w:pPr>
    </w:p>
    <w:p w14:paraId="2C10A2E8" w14:textId="77777777" w:rsidR="00E24AA1" w:rsidRDefault="00E24AA1" w:rsidP="00E24AA1">
      <w:pPr>
        <w:pStyle w:val="Baseparagraphcentred"/>
        <w:pBdr>
          <w:bottom w:val="single" w:sz="4" w:space="1" w:color="auto"/>
        </w:pBdr>
      </w:pPr>
    </w:p>
    <w:p w14:paraId="154677E6" w14:textId="18EF5890" w:rsidR="00E24AA1" w:rsidRPr="00E24AA1" w:rsidRDefault="00890424" w:rsidP="00E24AA1">
      <w:pPr>
        <w:pStyle w:val="BillName"/>
      </w:pPr>
      <w:bookmarkStart w:id="6" w:name="BillName"/>
      <w:bookmarkEnd w:id="6"/>
      <w:r>
        <w:t xml:space="preserve">TREASURY LAWS AMENDMENT </w:t>
      </w:r>
      <w:r w:rsidR="5D3B27D1">
        <w:t>B</w:t>
      </w:r>
      <w:r>
        <w:t>ILL 2024: DENYING DEDUCTIONS FOR INTEREST CHARGES</w:t>
      </w:r>
    </w:p>
    <w:p w14:paraId="4B726F52" w14:textId="77777777" w:rsidR="00E24AA1" w:rsidRDefault="00E24AA1" w:rsidP="00E24AA1">
      <w:pPr>
        <w:pStyle w:val="Baseparagraphcentred"/>
        <w:pBdr>
          <w:top w:val="single" w:sz="4" w:space="1" w:color="auto"/>
        </w:pBdr>
      </w:pPr>
    </w:p>
    <w:p w14:paraId="0025828C" w14:textId="77777777" w:rsidR="00E24AA1" w:rsidRDefault="00E24AA1" w:rsidP="00E24AA1">
      <w:pPr>
        <w:pStyle w:val="Baseparagraphcentred"/>
      </w:pPr>
    </w:p>
    <w:p w14:paraId="3A0DDB99" w14:textId="77777777" w:rsidR="00E24AA1" w:rsidRDefault="00E24AA1" w:rsidP="00E24AA1">
      <w:pPr>
        <w:pStyle w:val="Baseparagraphcentred"/>
      </w:pPr>
    </w:p>
    <w:p w14:paraId="40AE52E7" w14:textId="77777777" w:rsidR="00E24AA1" w:rsidRDefault="00E24AA1" w:rsidP="00E24AA1">
      <w:pPr>
        <w:pStyle w:val="Baseparagraphcentred"/>
      </w:pPr>
    </w:p>
    <w:p w14:paraId="5E1FB30B" w14:textId="77777777" w:rsidR="00ED3956" w:rsidRDefault="00ED3956" w:rsidP="00E24AA1">
      <w:pPr>
        <w:pStyle w:val="Baseparagraphcentred"/>
      </w:pPr>
      <w:r>
        <w:t>EXPOSURE DRAFT EXPLANATORY MATERIALS</w:t>
      </w:r>
    </w:p>
    <w:p w14:paraId="2E5299FB" w14:textId="0A9A579C" w:rsidR="00E24AA1" w:rsidRDefault="00E24AA1" w:rsidP="00E24AA1">
      <w:pPr>
        <w:pStyle w:val="Baseparagraphcentred"/>
      </w:pPr>
    </w:p>
    <w:p w14:paraId="31E9FD56" w14:textId="77777777" w:rsidR="00E24AA1" w:rsidRDefault="00E24AA1" w:rsidP="00E24AA1">
      <w:pPr>
        <w:pStyle w:val="Baseparagraphcentred"/>
      </w:pPr>
    </w:p>
    <w:p w14:paraId="78A8AD32" w14:textId="77777777" w:rsidR="00E24AA1" w:rsidRDefault="00E24AA1" w:rsidP="00E24AA1">
      <w:pPr>
        <w:pStyle w:val="ParaCentredNoSpacing"/>
      </w:pPr>
    </w:p>
    <w:p w14:paraId="7A095903" w14:textId="77777777" w:rsidR="00E24AA1" w:rsidRPr="00967273" w:rsidRDefault="00E24AA1" w:rsidP="00E24AA1">
      <w:pPr>
        <w:pStyle w:val="Normalparatextnonumbers"/>
        <w:jc w:val="center"/>
        <w:rPr>
          <w:rFonts w:cs="Calibri"/>
          <w:color w:val="000000" w:themeColor="text1"/>
        </w:rPr>
      </w:pPr>
    </w:p>
    <w:p w14:paraId="0BDC8539" w14:textId="77777777" w:rsidR="008A3B5F" w:rsidRPr="00020288" w:rsidRDefault="008A3B5F" w:rsidP="008A3B5F">
      <w:pPr>
        <w:pStyle w:val="Normalparatextnonumbers"/>
      </w:pPr>
    </w:p>
    <w:p w14:paraId="3DADA4C0" w14:textId="77777777" w:rsidR="00ED3956" w:rsidRPr="0090171F" w:rsidRDefault="00ED3956" w:rsidP="0090171F">
      <w:pPr>
        <w:pStyle w:val="Normalparatextnonumbers"/>
      </w:pPr>
      <w:bookmarkStart w:id="7" w:name="ConsultPreamble"/>
      <w:bookmarkEnd w:id="7"/>
      <w:r w:rsidRPr="0090171F">
        <w:br w:type="page"/>
      </w:r>
    </w:p>
    <w:p w14:paraId="499637A3" w14:textId="77777777" w:rsidR="00ED3956" w:rsidRPr="0090171F" w:rsidRDefault="00ED3956" w:rsidP="00ED3956">
      <w:pPr>
        <w:pStyle w:val="Normalparatextnonumbers"/>
        <w:numPr>
          <w:ilvl w:val="4"/>
          <w:numId w:val="2"/>
        </w:numPr>
        <w:rPr>
          <w:b/>
        </w:rPr>
      </w:pPr>
      <w:r w:rsidRPr="0090171F">
        <w:rPr>
          <w:b/>
        </w:rPr>
        <w:lastRenderedPageBreak/>
        <w:t>Consultation preamble</w:t>
      </w:r>
    </w:p>
    <w:p w14:paraId="22E1328C" w14:textId="77777777" w:rsidR="00ED3956" w:rsidRPr="0090171F" w:rsidRDefault="00ED3956" w:rsidP="0090171F">
      <w:pPr>
        <w:pStyle w:val="Normalparatextnonumbers"/>
      </w:pPr>
      <w:r w:rsidRPr="0090171F">
        <w:t>Treasury seeks feedback on the effectiveness of this exposure draft explanatory material in explaining the policy context and operation of the proposed new law, including, but not limited to:</w:t>
      </w:r>
    </w:p>
    <w:p w14:paraId="345CDF87" w14:textId="77777777" w:rsidR="00ED3956" w:rsidRPr="0090171F" w:rsidRDefault="00ED3956" w:rsidP="0090171F">
      <w:pPr>
        <w:pStyle w:val="Normalparatextnonumbers"/>
      </w:pPr>
      <w:r w:rsidRPr="0090171F">
        <w:t>•</w:t>
      </w:r>
      <w:r w:rsidRPr="0090171F">
        <w:tab/>
        <w:t xml:space="preserve">how the new law is intended to </w:t>
      </w:r>
      <w:proofErr w:type="gramStart"/>
      <w:r w:rsidRPr="0090171F">
        <w:t>operate;</w:t>
      </w:r>
      <w:proofErr w:type="gramEnd"/>
    </w:p>
    <w:p w14:paraId="69F8207F" w14:textId="77777777" w:rsidR="00ED3956" w:rsidRPr="0090171F" w:rsidRDefault="00ED3956" w:rsidP="00924E28">
      <w:pPr>
        <w:pStyle w:val="Normalparatextnonumbers"/>
        <w:tabs>
          <w:tab w:val="left" w:pos="709"/>
        </w:tabs>
        <w:ind w:left="709" w:hanging="709"/>
      </w:pPr>
      <w:r w:rsidRPr="0090171F">
        <w:t>•</w:t>
      </w:r>
      <w:r w:rsidRPr="0090171F">
        <w:tab/>
        <w:t xml:space="preserve">whether the background and policy context </w:t>
      </w:r>
      <w:proofErr w:type="gramStart"/>
      <w:r w:rsidRPr="0090171F">
        <w:t>is</w:t>
      </w:r>
      <w:proofErr w:type="gramEnd"/>
      <w:r w:rsidRPr="0090171F">
        <w:t xml:space="preserve"> sufficiently comprehensive to support understanding of the policy intent and outcomes of the new law;</w:t>
      </w:r>
    </w:p>
    <w:p w14:paraId="6F039BE6" w14:textId="77777777" w:rsidR="00ED3956" w:rsidRPr="0090171F" w:rsidRDefault="00ED3956" w:rsidP="0090171F">
      <w:pPr>
        <w:pStyle w:val="Normalparatextnonumbers"/>
        <w:ind w:left="709" w:hanging="709"/>
      </w:pPr>
      <w:r w:rsidRPr="0090171F">
        <w:t>•</w:t>
      </w:r>
      <w:r w:rsidRPr="0090171F">
        <w:tab/>
        <w:t>the use of relevant examples, illustrations or diagrams as explanatory aids;</w:t>
      </w:r>
      <w:r w:rsidRPr="0090171F">
        <w:br/>
        <w:t>and</w:t>
      </w:r>
    </w:p>
    <w:p w14:paraId="7880B8BE" w14:textId="77777777" w:rsidR="00ED3956" w:rsidRPr="0090171F" w:rsidRDefault="00ED3956" w:rsidP="0090171F">
      <w:pPr>
        <w:pStyle w:val="Normalparatextnonumbers"/>
        <w:ind w:left="709" w:hanging="709"/>
      </w:pPr>
      <w:r w:rsidRPr="0090171F">
        <w:t>•</w:t>
      </w:r>
      <w:r w:rsidRPr="0090171F">
        <w:tab/>
        <w:t>any other matters affecting the readability or presentation of the explanatory material.</w:t>
      </w:r>
    </w:p>
    <w:p w14:paraId="7D3C4A54" w14:textId="77777777" w:rsidR="00ED3956" w:rsidRPr="00890424" w:rsidRDefault="00ED3956" w:rsidP="0090171F">
      <w:pPr>
        <w:pStyle w:val="Normalparatextnonumbers"/>
      </w:pPr>
      <w:r w:rsidRPr="0090171F">
        <w:t xml:space="preserve">Feedback on these matters will assist to ensure the Explanatory Memoranda for the Bill aids the Parliament’s consideration of the proposed new law and the needs of other </w:t>
      </w:r>
      <w:r w:rsidRPr="00890424">
        <w:t xml:space="preserve">users. </w:t>
      </w:r>
    </w:p>
    <w:p w14:paraId="0CFC7BB8" w14:textId="0D0F2861" w:rsidR="00ED3956" w:rsidRPr="0090171F" w:rsidRDefault="00ED3956" w:rsidP="0090171F">
      <w:pPr>
        <w:pStyle w:val="Normalparatextnonumbers"/>
      </w:pPr>
      <w:r w:rsidRPr="00890424">
        <w:t>Treasury and the ATO work closely to identify aspects of new tax laws which may benefit from ATO public advice and guidance (PAG). Feedback is also sought on any aspects of the new law where ATO PAG should be considered, to support stakeholders’ understanding and application of the new law. Stakeholder feedback on this question will be shared with the ATO.</w:t>
      </w:r>
    </w:p>
    <w:p w14:paraId="7240B0A6" w14:textId="77777777" w:rsidR="00924E28" w:rsidRPr="00020288" w:rsidRDefault="00924E28" w:rsidP="00873094">
      <w:pPr>
        <w:pStyle w:val="Normalparatextnonumbers"/>
      </w:pPr>
    </w:p>
    <w:p w14:paraId="36C5C68B" w14:textId="77777777" w:rsidR="00873094" w:rsidRPr="00020288" w:rsidRDefault="00873094" w:rsidP="00873094">
      <w:pPr>
        <w:pStyle w:val="TOC1"/>
        <w:sectPr w:rsidR="00873094" w:rsidRPr="00020288" w:rsidSect="00000BFC">
          <w:headerReference w:type="default" r:id="rId7"/>
          <w:footerReference w:type="even" r:id="rId8"/>
          <w:footerReference w:type="default" r:id="rId9"/>
          <w:headerReference w:type="first" r:id="rId10"/>
          <w:footerReference w:type="first" r:id="rId11"/>
          <w:type w:val="oddPage"/>
          <w:pgSz w:w="9979" w:h="14175" w:code="138"/>
          <w:pgMar w:top="567" w:right="1134" w:bottom="567" w:left="1134" w:header="709" w:footer="709" w:gutter="0"/>
          <w:cols w:space="708"/>
          <w:titlePg/>
          <w:docGrid w:linePitch="360"/>
        </w:sectPr>
      </w:pPr>
    </w:p>
    <w:p w14:paraId="5C5E8E3F" w14:textId="77777777" w:rsidR="00873094" w:rsidRPr="00020288" w:rsidRDefault="00873094" w:rsidP="00873094">
      <w:pPr>
        <w:pStyle w:val="TOCHeading"/>
      </w:pPr>
      <w:bookmarkStart w:id="8" w:name="_Toc80172450"/>
      <w:bookmarkStart w:id="9" w:name="_Toc80197114"/>
      <w:bookmarkStart w:id="10" w:name="_Toc81852681"/>
      <w:bookmarkEnd w:id="0"/>
      <w:bookmarkEnd w:id="1"/>
      <w:bookmarkEnd w:id="2"/>
      <w:bookmarkEnd w:id="3"/>
      <w:bookmarkEnd w:id="4"/>
      <w:r w:rsidRPr="00020288">
        <w:lastRenderedPageBreak/>
        <w:t>Table of Contents</w:t>
      </w:r>
      <w:bookmarkStart w:id="11" w:name="_Toc78549733"/>
      <w:bookmarkStart w:id="12" w:name="_Toc78549778"/>
      <w:bookmarkStart w:id="13" w:name="_Toc80097483"/>
      <w:bookmarkStart w:id="14" w:name="_Toc80097777"/>
      <w:bookmarkStart w:id="15" w:name="_Toc80115276"/>
      <w:bookmarkStart w:id="16" w:name="_Toc80172451"/>
      <w:bookmarkStart w:id="17" w:name="_Toc80197115"/>
      <w:bookmarkStart w:id="18" w:name="_Toc81852682"/>
      <w:bookmarkStart w:id="19" w:name="_Toc81852727"/>
      <w:bookmarkEnd w:id="8"/>
      <w:bookmarkEnd w:id="9"/>
      <w:bookmarkEnd w:id="10"/>
    </w:p>
    <w:p w14:paraId="351FEE66" w14:textId="0E782DB7" w:rsidR="00ED3956" w:rsidRDefault="00873094" w:rsidP="00ED3956">
      <w:pPr>
        <w:pStyle w:val="TOC1"/>
        <w:tabs>
          <w:tab w:val="clear" w:pos="7655"/>
          <w:tab w:val="right" w:leader="dot" w:pos="7654"/>
        </w:tabs>
        <w:ind w:left="0" w:firstLine="0"/>
        <w:rPr>
          <w:rFonts w:asciiTheme="minorHAnsi" w:eastAsiaTheme="minorEastAsia" w:hAnsiTheme="minorHAnsi" w:cstheme="minorBidi"/>
          <w:bCs w:val="0"/>
          <w:noProof/>
          <w:kern w:val="2"/>
          <w:sz w:val="22"/>
          <w:szCs w:val="22"/>
          <w:lang w:eastAsia="en-AU"/>
          <w14:ligatures w14:val="standardContextual"/>
        </w:rPr>
      </w:pPr>
      <w:r w:rsidRPr="00BC2E4A">
        <w:fldChar w:fldCharType="begin"/>
      </w:r>
      <w:r w:rsidRPr="00BC2E4A">
        <w:instrText xml:space="preserve"> TOC \o "1-1" \u </w:instrText>
      </w:r>
      <w:r w:rsidRPr="00BC2E4A">
        <w:fldChar w:fldCharType="separate"/>
      </w:r>
      <w:r w:rsidR="00ED3956">
        <w:rPr>
          <w:noProof/>
        </w:rPr>
        <w:t>Glossary</w:t>
      </w:r>
      <w:r w:rsidR="00ED3956">
        <w:rPr>
          <w:noProof/>
        </w:rPr>
        <w:tab/>
      </w:r>
      <w:r w:rsidR="00ED3956">
        <w:rPr>
          <w:noProof/>
        </w:rPr>
        <w:fldChar w:fldCharType="begin"/>
      </w:r>
      <w:r w:rsidR="00ED3956">
        <w:rPr>
          <w:noProof/>
        </w:rPr>
        <w:instrText xml:space="preserve"> PAGEREF _Toc174364546 \h </w:instrText>
      </w:r>
      <w:r w:rsidR="00ED3956">
        <w:rPr>
          <w:noProof/>
        </w:rPr>
      </w:r>
      <w:r w:rsidR="00ED3956">
        <w:rPr>
          <w:noProof/>
        </w:rPr>
        <w:fldChar w:fldCharType="separate"/>
      </w:r>
      <w:r w:rsidR="003F492E">
        <w:rPr>
          <w:noProof/>
        </w:rPr>
        <w:t>iii</w:t>
      </w:r>
      <w:r w:rsidR="00ED3956">
        <w:rPr>
          <w:noProof/>
        </w:rPr>
        <w:fldChar w:fldCharType="end"/>
      </w:r>
    </w:p>
    <w:p w14:paraId="25099393" w14:textId="168899F4" w:rsidR="00ED3956" w:rsidRDefault="00ED3956" w:rsidP="00ED3956">
      <w:pPr>
        <w:pStyle w:val="TOC1"/>
        <w:tabs>
          <w:tab w:val="clear" w:pos="7655"/>
          <w:tab w:val="left" w:pos="1757"/>
          <w:tab w:val="right" w:leader="dot" w:pos="7654"/>
        </w:tabs>
        <w:rPr>
          <w:rFonts w:asciiTheme="minorHAnsi" w:eastAsiaTheme="minorEastAsia" w:hAnsiTheme="minorHAnsi" w:cstheme="minorBidi"/>
          <w:bCs w:val="0"/>
          <w:noProof/>
          <w:kern w:val="2"/>
          <w:sz w:val="22"/>
          <w:szCs w:val="22"/>
          <w:lang w:eastAsia="en-AU"/>
          <w14:ligatures w14:val="standardContextual"/>
        </w:rPr>
      </w:pPr>
      <w:r w:rsidRPr="005D4EED">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kern w:val="2"/>
          <w:sz w:val="22"/>
          <w:szCs w:val="22"/>
          <w:lang w:eastAsia="en-AU"/>
          <w14:ligatures w14:val="standardContextual"/>
        </w:rPr>
        <w:tab/>
      </w:r>
      <w:r>
        <w:rPr>
          <w:noProof/>
        </w:rPr>
        <w:t>Denying deductions for ATO interest charges</w:t>
      </w:r>
      <w:r>
        <w:rPr>
          <w:noProof/>
        </w:rPr>
        <w:tab/>
      </w:r>
      <w:r>
        <w:rPr>
          <w:noProof/>
        </w:rPr>
        <w:fldChar w:fldCharType="begin"/>
      </w:r>
      <w:r>
        <w:rPr>
          <w:noProof/>
        </w:rPr>
        <w:instrText xml:space="preserve"> PAGEREF _Toc174364547 \h </w:instrText>
      </w:r>
      <w:r>
        <w:rPr>
          <w:noProof/>
        </w:rPr>
      </w:r>
      <w:r>
        <w:rPr>
          <w:noProof/>
        </w:rPr>
        <w:fldChar w:fldCharType="separate"/>
      </w:r>
      <w:r w:rsidR="003F492E">
        <w:rPr>
          <w:noProof/>
        </w:rPr>
        <w:t>5</w:t>
      </w:r>
      <w:r>
        <w:rPr>
          <w:noProof/>
        </w:rPr>
        <w:fldChar w:fldCharType="end"/>
      </w:r>
    </w:p>
    <w:p w14:paraId="6D870F9B" w14:textId="7B6F440B" w:rsidR="00873094" w:rsidRPr="00020288" w:rsidRDefault="00873094" w:rsidP="00BC2E4A">
      <w:pPr>
        <w:pStyle w:val="TOC1"/>
      </w:pPr>
      <w:r w:rsidRPr="00BC2E4A">
        <w:fldChar w:fldCharType="end"/>
      </w:r>
    </w:p>
    <w:p w14:paraId="311A3EA6" w14:textId="77777777" w:rsidR="00873094" w:rsidRPr="00020288" w:rsidRDefault="00873094" w:rsidP="00873094"/>
    <w:p w14:paraId="56E22432" w14:textId="77777777" w:rsidR="00873094" w:rsidRPr="00020288" w:rsidRDefault="00873094" w:rsidP="00873094">
      <w:pPr>
        <w:sectPr w:rsidR="00873094" w:rsidRPr="00020288" w:rsidSect="00000BFC">
          <w:headerReference w:type="even" r:id="rId12"/>
          <w:headerReference w:type="default" r:id="rId13"/>
          <w:footerReference w:type="even" r:id="rId14"/>
          <w:footerReference w:type="default" r:id="rId15"/>
          <w:headerReference w:type="first" r:id="rId16"/>
          <w:footerReference w:type="first" r:id="rId17"/>
          <w:type w:val="oddPage"/>
          <w:pgSz w:w="9979" w:h="14175" w:code="9"/>
          <w:pgMar w:top="567" w:right="1134" w:bottom="567" w:left="1134" w:header="709" w:footer="709" w:gutter="0"/>
          <w:pgNumType w:start="1"/>
          <w:cols w:space="708"/>
          <w:titlePg/>
          <w:docGrid w:linePitch="360"/>
        </w:sectPr>
      </w:pPr>
    </w:p>
    <w:p w14:paraId="3C936D5A" w14:textId="77777777" w:rsidR="00873094" w:rsidRPr="00020288" w:rsidRDefault="00873094" w:rsidP="00873094">
      <w:pPr>
        <w:pStyle w:val="Heading1"/>
      </w:pPr>
      <w:bookmarkStart w:id="20" w:name="_Toc82021619"/>
      <w:bookmarkStart w:id="21" w:name="_Toc82067318"/>
      <w:bookmarkStart w:id="22" w:name="_Toc82072959"/>
      <w:bookmarkStart w:id="23" w:name="_Toc82073275"/>
      <w:bookmarkStart w:id="24" w:name="_Toc82073912"/>
      <w:bookmarkStart w:id="25" w:name="_Toc82074016"/>
      <w:bookmarkStart w:id="26" w:name="_Toc174364546"/>
      <w:r w:rsidRPr="00020288">
        <w:lastRenderedPageBreak/>
        <w:t>Glossary</w:t>
      </w:r>
      <w:bookmarkStart w:id="27" w:name="_Toc485286223"/>
      <w:bookmarkStart w:id="28" w:name="_Toc78193244"/>
      <w:bookmarkStart w:id="29" w:name="_Toc7819340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00A12BAA">
        <w:tab/>
      </w:r>
      <w:r w:rsidR="001F670B">
        <w:t xml:space="preserve"> </w:t>
      </w:r>
    </w:p>
    <w:p w14:paraId="7ED6F1B4"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7515E706" w14:textId="77777777" w:rsidTr="002425D9">
        <w:tc>
          <w:tcPr>
            <w:tcW w:w="3776" w:type="dxa"/>
            <w:shd w:val="clear" w:color="auto" w:fill="auto"/>
          </w:tcPr>
          <w:p w14:paraId="170388B2" w14:textId="77777777" w:rsidR="00873094" w:rsidRPr="002E7A73" w:rsidRDefault="00873094" w:rsidP="00B7393A">
            <w:pPr>
              <w:pStyle w:val="Tableheaderrowtext"/>
            </w:pPr>
            <w:bookmarkStart w:id="30" w:name="GlossaryTableStart"/>
            <w:bookmarkEnd w:id="30"/>
            <w:r w:rsidRPr="002E7A73">
              <w:t>Abbreviation</w:t>
            </w:r>
          </w:p>
        </w:tc>
        <w:tc>
          <w:tcPr>
            <w:tcW w:w="3874" w:type="dxa"/>
            <w:shd w:val="clear" w:color="auto" w:fill="auto"/>
          </w:tcPr>
          <w:p w14:paraId="7D9FC357" w14:textId="77777777" w:rsidR="00873094" w:rsidRPr="002E7A73" w:rsidRDefault="00873094" w:rsidP="00B7393A">
            <w:pPr>
              <w:pStyle w:val="Tableheaderrowtext"/>
            </w:pPr>
            <w:r w:rsidRPr="002E7A73">
              <w:t>Definition</w:t>
            </w:r>
          </w:p>
        </w:tc>
      </w:tr>
      <w:tr w:rsidR="002A52A9" w:rsidRPr="00020288" w14:paraId="24270C20" w14:textId="77777777" w:rsidTr="002425D9">
        <w:tc>
          <w:tcPr>
            <w:tcW w:w="3776" w:type="dxa"/>
          </w:tcPr>
          <w:p w14:paraId="644CCC49" w14:textId="613C7431" w:rsidR="002A52A9" w:rsidRPr="00020288" w:rsidRDefault="002A52A9" w:rsidP="002A52A9">
            <w:pPr>
              <w:pStyle w:val="Normalparatextnonumbers"/>
            </w:pPr>
            <w:r>
              <w:t>ATO</w:t>
            </w:r>
          </w:p>
        </w:tc>
        <w:tc>
          <w:tcPr>
            <w:tcW w:w="3874" w:type="dxa"/>
          </w:tcPr>
          <w:p w14:paraId="7145F724" w14:textId="67426393" w:rsidR="002A52A9" w:rsidRPr="00020288" w:rsidRDefault="002A52A9" w:rsidP="002A52A9">
            <w:pPr>
              <w:pStyle w:val="Normalparatextnonumbers"/>
            </w:pPr>
            <w:r>
              <w:t>Australian Taxation Office</w:t>
            </w:r>
          </w:p>
        </w:tc>
      </w:tr>
      <w:tr w:rsidR="002A52A9" w:rsidRPr="00020288" w14:paraId="7CDDAA3D" w14:textId="77777777" w:rsidTr="002425D9">
        <w:tc>
          <w:tcPr>
            <w:tcW w:w="3776" w:type="dxa"/>
          </w:tcPr>
          <w:p w14:paraId="0908FEC5" w14:textId="78F2EE31" w:rsidR="002A52A9" w:rsidRPr="00020288" w:rsidRDefault="002A52A9" w:rsidP="002A52A9">
            <w:pPr>
              <w:pStyle w:val="Normalparatextnonumbers"/>
            </w:pPr>
            <w:r>
              <w:t>ITAA 1997</w:t>
            </w:r>
          </w:p>
        </w:tc>
        <w:tc>
          <w:tcPr>
            <w:tcW w:w="3874" w:type="dxa"/>
          </w:tcPr>
          <w:p w14:paraId="3922888F" w14:textId="1AA8CE4E" w:rsidR="002A52A9" w:rsidRPr="00020288" w:rsidRDefault="002A52A9" w:rsidP="002A52A9">
            <w:pPr>
              <w:pStyle w:val="Normalparatextnonumbers"/>
            </w:pPr>
            <w:r w:rsidRPr="00A839AD">
              <w:rPr>
                <w:i/>
                <w:iCs/>
              </w:rPr>
              <w:t>Income Tax Assessment Act</w:t>
            </w:r>
            <w:r>
              <w:rPr>
                <w:i/>
                <w:iCs/>
              </w:rPr>
              <w:t xml:space="preserve"> 1997</w:t>
            </w:r>
          </w:p>
        </w:tc>
      </w:tr>
      <w:tr w:rsidR="002A52A9" w:rsidRPr="00020288" w14:paraId="5F464B8A" w14:textId="77777777" w:rsidTr="002425D9">
        <w:tc>
          <w:tcPr>
            <w:tcW w:w="3776" w:type="dxa"/>
          </w:tcPr>
          <w:p w14:paraId="5ED8F3A0" w14:textId="58FF4D97" w:rsidR="002A52A9" w:rsidRPr="00020288" w:rsidRDefault="002A52A9" w:rsidP="002A52A9">
            <w:pPr>
              <w:pStyle w:val="Normalparatextnonumbers"/>
            </w:pPr>
            <w:r>
              <w:t>GIC</w:t>
            </w:r>
          </w:p>
        </w:tc>
        <w:tc>
          <w:tcPr>
            <w:tcW w:w="3874" w:type="dxa"/>
          </w:tcPr>
          <w:p w14:paraId="44071891" w14:textId="4D09D0A6" w:rsidR="002A52A9" w:rsidRPr="00020288" w:rsidRDefault="002A52A9" w:rsidP="002A52A9">
            <w:pPr>
              <w:pStyle w:val="Normalparatextnonumbers"/>
            </w:pPr>
            <w:r>
              <w:t>General interest charge</w:t>
            </w:r>
          </w:p>
        </w:tc>
      </w:tr>
      <w:tr w:rsidR="002A52A9" w:rsidRPr="00020288" w14:paraId="343FC78B" w14:textId="77777777" w:rsidTr="002425D9">
        <w:tc>
          <w:tcPr>
            <w:tcW w:w="3776" w:type="dxa"/>
          </w:tcPr>
          <w:p w14:paraId="26CCD74F" w14:textId="0EB4B453" w:rsidR="002A52A9" w:rsidRPr="00020288" w:rsidRDefault="002A52A9" w:rsidP="002A52A9">
            <w:pPr>
              <w:pStyle w:val="Normalparatextnonumbers"/>
            </w:pPr>
            <w:r>
              <w:t>SIC</w:t>
            </w:r>
          </w:p>
        </w:tc>
        <w:tc>
          <w:tcPr>
            <w:tcW w:w="3874" w:type="dxa"/>
          </w:tcPr>
          <w:p w14:paraId="1B6CB3F0" w14:textId="6748A43C" w:rsidR="002A52A9" w:rsidRPr="00020288" w:rsidRDefault="002A52A9" w:rsidP="002A52A9">
            <w:pPr>
              <w:pStyle w:val="Normalparatextnonumbers"/>
            </w:pPr>
            <w:r>
              <w:t>Shortfall interest charge</w:t>
            </w:r>
          </w:p>
        </w:tc>
      </w:tr>
      <w:tr w:rsidR="002A52A9" w:rsidRPr="00020288" w14:paraId="4861FF21" w14:textId="77777777" w:rsidTr="002425D9">
        <w:tc>
          <w:tcPr>
            <w:tcW w:w="3776" w:type="dxa"/>
          </w:tcPr>
          <w:p w14:paraId="0DD6F2AB" w14:textId="70D34AEC" w:rsidR="002A52A9" w:rsidRPr="00020288" w:rsidRDefault="002A52A9" w:rsidP="002A52A9">
            <w:pPr>
              <w:pStyle w:val="Normalparatextnonumbers"/>
            </w:pPr>
            <w:r>
              <w:t>TAA 1953</w:t>
            </w:r>
          </w:p>
        </w:tc>
        <w:tc>
          <w:tcPr>
            <w:tcW w:w="3874" w:type="dxa"/>
          </w:tcPr>
          <w:p w14:paraId="0A28556D" w14:textId="74EE39DD" w:rsidR="002A52A9" w:rsidRPr="00020288" w:rsidRDefault="002A52A9" w:rsidP="002A52A9">
            <w:pPr>
              <w:pStyle w:val="Normalparatextnonumbers"/>
            </w:pPr>
            <w:r>
              <w:rPr>
                <w:i/>
                <w:iCs/>
              </w:rPr>
              <w:t>Tax Administration Act 1953</w:t>
            </w:r>
          </w:p>
        </w:tc>
      </w:tr>
      <w:tr w:rsidR="002A52A9" w:rsidRPr="00020288" w14:paraId="2F62AF1A" w14:textId="77777777" w:rsidTr="002425D9">
        <w:tc>
          <w:tcPr>
            <w:tcW w:w="3776" w:type="dxa"/>
          </w:tcPr>
          <w:p w14:paraId="7285683B" w14:textId="722ED67B" w:rsidR="002A52A9" w:rsidRPr="00020288" w:rsidRDefault="002A52A9" w:rsidP="002A52A9">
            <w:pPr>
              <w:pStyle w:val="Normalparatextnonumbers"/>
            </w:pPr>
            <w:r>
              <w:t>The Commissioner</w:t>
            </w:r>
          </w:p>
        </w:tc>
        <w:tc>
          <w:tcPr>
            <w:tcW w:w="3874" w:type="dxa"/>
          </w:tcPr>
          <w:p w14:paraId="02FC9812" w14:textId="09E72EFD" w:rsidR="002A52A9" w:rsidRPr="00020288" w:rsidRDefault="002A52A9" w:rsidP="002A52A9">
            <w:pPr>
              <w:pStyle w:val="Normalparatextnonumbers"/>
            </w:pPr>
            <w:r>
              <w:t>The Commissioner of Taxation</w:t>
            </w:r>
          </w:p>
        </w:tc>
      </w:tr>
    </w:tbl>
    <w:p w14:paraId="77E433A3" w14:textId="77777777" w:rsidR="00873094" w:rsidRPr="00020288" w:rsidRDefault="00873094" w:rsidP="00873094"/>
    <w:p w14:paraId="760A9C1D" w14:textId="77777777" w:rsidR="00873094" w:rsidRPr="00020288" w:rsidRDefault="00873094" w:rsidP="00873094"/>
    <w:p w14:paraId="1013F05C" w14:textId="77777777" w:rsidR="00873094" w:rsidRPr="00020288" w:rsidRDefault="00873094" w:rsidP="00873094">
      <w:pPr>
        <w:pStyle w:val="Heading1"/>
        <w:sectPr w:rsidR="00873094" w:rsidRPr="00020288" w:rsidSect="00000BFC">
          <w:headerReference w:type="even" r:id="rId18"/>
          <w:headerReference w:type="default" r:id="rId19"/>
          <w:footerReference w:type="even" r:id="rId20"/>
          <w:footerReference w:type="default" r:id="rId21"/>
          <w:headerReference w:type="first" r:id="rId22"/>
          <w:footerReference w:type="first" r:id="rId23"/>
          <w:type w:val="oddPage"/>
          <w:pgSz w:w="9979" w:h="14175" w:code="9"/>
          <w:pgMar w:top="567" w:right="1134" w:bottom="567" w:left="1134" w:header="709" w:footer="709" w:gutter="0"/>
          <w:pgNumType w:fmt="lowerRoman"/>
          <w:cols w:space="708"/>
          <w:docGrid w:linePitch="360"/>
        </w:sectPr>
      </w:pPr>
      <w:bookmarkStart w:id="31" w:name="_Toc78548464"/>
      <w:bookmarkStart w:id="32" w:name="_Toc78549735"/>
      <w:bookmarkStart w:id="33" w:name="_Toc78549780"/>
      <w:bookmarkStart w:id="34" w:name="_Toc80097484"/>
      <w:bookmarkStart w:id="35" w:name="_Toc80097778"/>
      <w:bookmarkStart w:id="36" w:name="_Toc80115277"/>
      <w:bookmarkStart w:id="37" w:name="_Toc80172452"/>
      <w:bookmarkStart w:id="38" w:name="_Toc80197116"/>
      <w:bookmarkStart w:id="39" w:name="_Toc81852683"/>
      <w:bookmarkStart w:id="40" w:name="_Toc81852728"/>
    </w:p>
    <w:p w14:paraId="26E9A7E1" w14:textId="60BF4F5F" w:rsidR="00873094" w:rsidRPr="00020288" w:rsidRDefault="002A52A9" w:rsidP="00873094">
      <w:pPr>
        <w:pStyle w:val="Chapterheading"/>
      </w:pPr>
      <w:bookmarkStart w:id="41" w:name="GeneralOutline"/>
      <w:bookmarkStart w:id="42" w:name="_Toc173935257"/>
      <w:bookmarkStart w:id="43" w:name="_Toc174364547"/>
      <w:bookmarkEnd w:id="27"/>
      <w:bookmarkEnd w:id="28"/>
      <w:bookmarkEnd w:id="29"/>
      <w:bookmarkEnd w:id="31"/>
      <w:bookmarkEnd w:id="32"/>
      <w:bookmarkEnd w:id="33"/>
      <w:bookmarkEnd w:id="34"/>
      <w:bookmarkEnd w:id="35"/>
      <w:bookmarkEnd w:id="36"/>
      <w:bookmarkEnd w:id="37"/>
      <w:bookmarkEnd w:id="38"/>
      <w:bookmarkEnd w:id="39"/>
      <w:bookmarkEnd w:id="40"/>
      <w:bookmarkEnd w:id="41"/>
      <w:r>
        <w:lastRenderedPageBreak/>
        <w:t>Denying deductions for ATO interest charges</w:t>
      </w:r>
      <w:bookmarkEnd w:id="42"/>
      <w:bookmarkEnd w:id="43"/>
    </w:p>
    <w:p w14:paraId="4CA67BC1" w14:textId="77777777" w:rsidR="00873094" w:rsidRPr="00020288" w:rsidRDefault="00873094" w:rsidP="005D0844">
      <w:pPr>
        <w:pStyle w:val="Heading2"/>
      </w:pPr>
      <w:r w:rsidRPr="00020288">
        <w:t xml:space="preserve">Outline </w:t>
      </w:r>
      <w:r w:rsidRPr="005D0844">
        <w:t>of</w:t>
      </w:r>
      <w:r w:rsidRPr="00020288">
        <w:t xml:space="preserve"> chapter</w:t>
      </w:r>
    </w:p>
    <w:p w14:paraId="4ABA6642" w14:textId="5B22D9FA" w:rsidR="002A52A9" w:rsidRDefault="002A52A9" w:rsidP="0024356E">
      <w:pPr>
        <w:pStyle w:val="Normalparatextwithnumbers"/>
      </w:pPr>
      <w:r>
        <w:t xml:space="preserve">Schedule 1 to the Bill amends sections 25-5 and 26-5 of the ITAA 1997 </w:t>
      </w:r>
      <w:r w:rsidR="00F31ED7">
        <w:t>to</w:t>
      </w:r>
      <w:r>
        <w:t xml:space="preserve"> </w:t>
      </w:r>
      <w:r w:rsidR="00FE64BC">
        <w:t xml:space="preserve">deny the </w:t>
      </w:r>
      <w:r w:rsidR="00667797">
        <w:t xml:space="preserve">income tax deductions for amounts of </w:t>
      </w:r>
      <w:r w:rsidR="00FE64BC">
        <w:t>GIC and SIC</w:t>
      </w:r>
      <w:r w:rsidR="00667797">
        <w:t xml:space="preserve"> incurred by a taxpayer</w:t>
      </w:r>
      <w:r w:rsidR="00FE64BC">
        <w:t>.</w:t>
      </w:r>
    </w:p>
    <w:p w14:paraId="5A1F5267" w14:textId="56E36D12" w:rsidR="00371BFB" w:rsidRPr="00371BFB" w:rsidRDefault="00371BFB" w:rsidP="002A52A9">
      <w:pPr>
        <w:pStyle w:val="Normalparatextwithnumbers"/>
        <w:rPr>
          <w:rStyle w:val="cf01"/>
          <w:rFonts w:ascii="Times New Roman" w:hAnsi="Times New Roman" w:cstheme="minorBidi"/>
          <w:sz w:val="22"/>
          <w:szCs w:val="22"/>
        </w:rPr>
      </w:pPr>
      <w:r w:rsidRPr="00371BFB">
        <w:rPr>
          <w:rStyle w:val="cf01"/>
          <w:rFonts w:ascii="Times New Roman" w:hAnsi="Times New Roman" w:cs="Times New Roman"/>
          <w:sz w:val="22"/>
          <w:szCs w:val="22"/>
        </w:rPr>
        <w:t>The amendments seek to reinforce the requirements imposed on all taxpayers to correctly self-assess their income tax liability, pay their tax on time</w:t>
      </w:r>
      <w:r>
        <w:rPr>
          <w:rStyle w:val="cf01"/>
          <w:rFonts w:ascii="Times New Roman" w:hAnsi="Times New Roman" w:cs="Times New Roman"/>
          <w:sz w:val="22"/>
          <w:szCs w:val="22"/>
        </w:rPr>
        <w:t>,</w:t>
      </w:r>
      <w:r w:rsidRPr="00371BFB">
        <w:rPr>
          <w:rStyle w:val="cf01"/>
          <w:rFonts w:ascii="Times New Roman" w:hAnsi="Times New Roman" w:cs="Times New Roman"/>
          <w:sz w:val="22"/>
          <w:szCs w:val="22"/>
        </w:rPr>
        <w:t xml:space="preserve"> and assist in lowering the amount of collectable debt owed to the ATO.</w:t>
      </w:r>
      <w:r>
        <w:rPr>
          <w:rStyle w:val="cf01"/>
          <w:rFonts w:ascii="Times New Roman" w:hAnsi="Times New Roman" w:cs="Times New Roman"/>
          <w:sz w:val="22"/>
          <w:szCs w:val="22"/>
        </w:rPr>
        <w:t xml:space="preserve"> </w:t>
      </w:r>
    </w:p>
    <w:p w14:paraId="4F563172" w14:textId="13DE819E" w:rsidR="002A52A9" w:rsidRPr="000E521B" w:rsidRDefault="002A52A9" w:rsidP="002A52A9">
      <w:pPr>
        <w:pStyle w:val="Normalparatextwithnumbers"/>
      </w:pPr>
      <w:r>
        <w:t>All legislative references in this Chapter are to the ITAA 1997 unless otherwise specified.</w:t>
      </w:r>
    </w:p>
    <w:p w14:paraId="33E1D88B" w14:textId="77777777" w:rsidR="00873094" w:rsidRPr="00020288" w:rsidRDefault="00873094" w:rsidP="005D0844">
      <w:pPr>
        <w:pStyle w:val="Heading2"/>
      </w:pPr>
      <w:r w:rsidRPr="00020288">
        <w:t xml:space="preserve">Context of </w:t>
      </w:r>
      <w:r w:rsidRPr="005D0844">
        <w:t>amendments</w:t>
      </w:r>
    </w:p>
    <w:p w14:paraId="66F36A5D" w14:textId="22279D49" w:rsidR="002A52A9" w:rsidRDefault="002A52A9" w:rsidP="002A52A9">
      <w:pPr>
        <w:pStyle w:val="Normalparatextwithnumbers"/>
        <w:numPr>
          <w:ilvl w:val="1"/>
          <w:numId w:val="3"/>
        </w:numPr>
      </w:pPr>
      <w:r w:rsidRPr="00CF3FAF">
        <w:t>As part of the 2023-24 Mid-Year Economic and Fiscal Outlook, the Government</w:t>
      </w:r>
      <w:r>
        <w:t xml:space="preserve"> announced that it will deny deductions for </w:t>
      </w:r>
      <w:r w:rsidR="00A05FA0">
        <w:t>GIC and SIC</w:t>
      </w:r>
      <w:r w:rsidR="0073595A">
        <w:t xml:space="preserve"> incurred on or after 1 July 2025</w:t>
      </w:r>
      <w:r>
        <w:t>.</w:t>
      </w:r>
    </w:p>
    <w:p w14:paraId="7A3D1FBD" w14:textId="70B0A756" w:rsidR="00873094" w:rsidRDefault="002A52A9" w:rsidP="00873094">
      <w:pPr>
        <w:pStyle w:val="Normalparatextwithnumbers"/>
        <w:numPr>
          <w:ilvl w:val="1"/>
          <w:numId w:val="3"/>
        </w:numPr>
      </w:pPr>
      <w:r>
        <w:t xml:space="preserve">As set out under Subdivision 280-A </w:t>
      </w:r>
      <w:r w:rsidR="00667797">
        <w:t xml:space="preserve">in Schedule 1 to </w:t>
      </w:r>
      <w:r>
        <w:t xml:space="preserve">the TAA 1953, SIC applies to shortfalls of tax liabilities that are revealed when the Commissioner amends an assessment of an amount of tax payable, whereas GIC is generally imposed on unpaid tax liabilities as </w:t>
      </w:r>
      <w:r w:rsidR="00667797">
        <w:t xml:space="preserve">set out in </w:t>
      </w:r>
      <w:r>
        <w:t xml:space="preserve">Part IIA of the TAA 1953. Both </w:t>
      </w:r>
      <w:r w:rsidR="0094146B">
        <w:t>GIC and SIC</w:t>
      </w:r>
      <w:r>
        <w:t xml:space="preserve"> </w:t>
      </w:r>
      <w:r w:rsidR="00334715">
        <w:t xml:space="preserve">apply on a daily compounding basis </w:t>
      </w:r>
      <w:r>
        <w:t>and are charged at uniform rates</w:t>
      </w:r>
      <w:r w:rsidR="002A5CB1">
        <w:t xml:space="preserve"> for all taxpayers</w:t>
      </w:r>
      <w:r w:rsidR="00667797">
        <w:t xml:space="preserve"> that </w:t>
      </w:r>
      <w:r w:rsidR="002A129B">
        <w:t>are</w:t>
      </w:r>
      <w:r w:rsidR="00667797">
        <w:t xml:space="preserve"> adjusted to reflect movements in the Commonwealth’s cost of borrowing</w:t>
      </w:r>
      <w:r w:rsidR="00B75D80">
        <w:t xml:space="preserve">. The GIC and SIC annual rates are </w:t>
      </w:r>
      <w:r w:rsidR="0094146B">
        <w:t>11</w:t>
      </w:r>
      <w:r>
        <w:t>.3</w:t>
      </w:r>
      <w:r w:rsidR="00D46D40">
        <w:t>6</w:t>
      </w:r>
      <w:r>
        <w:t xml:space="preserve"> per cent and </w:t>
      </w:r>
      <w:r w:rsidR="0094146B">
        <w:t>7</w:t>
      </w:r>
      <w:r>
        <w:t>.3</w:t>
      </w:r>
      <w:r w:rsidR="005A2715">
        <w:t>6</w:t>
      </w:r>
      <w:r>
        <w:t xml:space="preserve"> per cent respectively</w:t>
      </w:r>
      <w:r w:rsidR="00225C83">
        <w:t xml:space="preserve"> as </w:t>
      </w:r>
      <w:proofErr w:type="gramStart"/>
      <w:r w:rsidR="00225C83">
        <w:t>at</w:t>
      </w:r>
      <w:proofErr w:type="gramEnd"/>
      <w:r w:rsidR="00225C83">
        <w:t xml:space="preserve"> August 2024</w:t>
      </w:r>
      <w:r w:rsidR="00B75D80">
        <w:t>.</w:t>
      </w:r>
      <w:r>
        <w:t xml:space="preserve"> </w:t>
      </w:r>
    </w:p>
    <w:p w14:paraId="450BE159" w14:textId="6BE4948C" w:rsidR="002A52A9" w:rsidRDefault="002A52A9" w:rsidP="00873094">
      <w:pPr>
        <w:pStyle w:val="Normalparatextwithnumbers"/>
        <w:numPr>
          <w:ilvl w:val="1"/>
          <w:numId w:val="3"/>
        </w:numPr>
      </w:pPr>
      <w:r>
        <w:t xml:space="preserve">SIC is intended to ensure that taxpayers who understate their liability in </w:t>
      </w:r>
      <w:r w:rsidR="00667797">
        <w:t xml:space="preserve">returns that incorrectly </w:t>
      </w:r>
      <w:r>
        <w:t>self</w:t>
      </w:r>
      <w:r w:rsidR="00667797">
        <w:t>—</w:t>
      </w:r>
      <w:r>
        <w:t xml:space="preserve">assess </w:t>
      </w:r>
      <w:r w:rsidR="00667797">
        <w:t xml:space="preserve">a liability </w:t>
      </w:r>
      <w:r>
        <w:t>do not receive an advantage</w:t>
      </w:r>
      <w:r w:rsidR="006C3DFB">
        <w:t xml:space="preserve">, </w:t>
      </w:r>
      <w:r>
        <w:t>in the form of a ‘free loan’</w:t>
      </w:r>
      <w:r w:rsidR="006C3DFB">
        <w:t xml:space="preserve">, </w:t>
      </w:r>
      <w:r>
        <w:t>over those</w:t>
      </w:r>
      <w:r w:rsidR="00667797">
        <w:t xml:space="preserve"> taxpayer</w:t>
      </w:r>
      <w:r w:rsidR="00C8205C">
        <w:t>s</w:t>
      </w:r>
      <w:r>
        <w:t xml:space="preserve"> who </w:t>
      </w:r>
      <w:r w:rsidR="00667797">
        <w:t xml:space="preserve">report and </w:t>
      </w:r>
      <w:r>
        <w:t xml:space="preserve">meet their tax liabilities in full by the due date, whereas GIC is </w:t>
      </w:r>
      <w:r w:rsidR="00667797">
        <w:t xml:space="preserve">also </w:t>
      </w:r>
      <w:r>
        <w:t xml:space="preserve">intended to encourage taxpayers to pay </w:t>
      </w:r>
      <w:r w:rsidR="00667797">
        <w:t xml:space="preserve">their </w:t>
      </w:r>
      <w:r w:rsidR="00AD561E">
        <w:t>tax</w:t>
      </w:r>
      <w:r w:rsidR="00667797">
        <w:t>es</w:t>
      </w:r>
      <w:r w:rsidR="00AD561E">
        <w:t xml:space="preserve"> </w:t>
      </w:r>
      <w:r>
        <w:t xml:space="preserve">on time. The ability of taxpayers to claim deductions </w:t>
      </w:r>
      <w:r w:rsidR="00683912">
        <w:t>for</w:t>
      </w:r>
      <w:r>
        <w:t xml:space="preserve"> expenditure incurred for these interest charges </w:t>
      </w:r>
      <w:r w:rsidR="00667797">
        <w:t>can operate</w:t>
      </w:r>
      <w:r>
        <w:t xml:space="preserve"> to </w:t>
      </w:r>
      <w:r w:rsidR="00667797">
        <w:t xml:space="preserve">undermine these </w:t>
      </w:r>
      <w:r>
        <w:t>objectives</w:t>
      </w:r>
      <w:r w:rsidR="00EA0695">
        <w:t>.</w:t>
      </w:r>
    </w:p>
    <w:p w14:paraId="07820E94" w14:textId="56957755" w:rsidR="002A52A9" w:rsidRPr="00020288" w:rsidRDefault="00E97444" w:rsidP="002A52A9">
      <w:pPr>
        <w:pStyle w:val="Normalparatextwithnumbers"/>
      </w:pPr>
      <w:r>
        <w:t>Denying the deductibility of GIC and SIC will</w:t>
      </w:r>
      <w:r w:rsidR="002A52A9">
        <w:t xml:space="preserve"> </w:t>
      </w:r>
      <w:r w:rsidR="00D63C3D">
        <w:t>level the playing field for individuals and businesses who already</w:t>
      </w:r>
      <w:r w:rsidR="00BD6EFB">
        <w:t xml:space="preserve"> correctly self-assess their tax liabilities and pay tax on </w:t>
      </w:r>
      <w:r w:rsidR="0073595A">
        <w:t>time and</w:t>
      </w:r>
      <w:r w:rsidR="002A52A9">
        <w:t xml:space="preserve"> </w:t>
      </w:r>
      <w:r w:rsidR="00557058">
        <w:t xml:space="preserve">assist in lowering </w:t>
      </w:r>
      <w:r w:rsidR="002A52A9">
        <w:t>the amount of collectable debt owed to the ATO</w:t>
      </w:r>
      <w:r w:rsidR="00D63C3D">
        <w:t>.</w:t>
      </w:r>
    </w:p>
    <w:p w14:paraId="533426DE" w14:textId="11467366" w:rsidR="00873094" w:rsidRPr="00020288" w:rsidRDefault="00873094" w:rsidP="002A52A9">
      <w:pPr>
        <w:pStyle w:val="Heading2"/>
      </w:pPr>
      <w:r w:rsidRPr="00AF50CE">
        <w:lastRenderedPageBreak/>
        <w:t>Comparison</w:t>
      </w:r>
      <w:r w:rsidRPr="00020288">
        <w:t xml:space="preserve"> of key features of new law and current law</w:t>
      </w:r>
    </w:p>
    <w:p w14:paraId="33DC502D" w14:textId="77777777" w:rsidR="00873094" w:rsidRPr="002D3B91" w:rsidRDefault="00873094" w:rsidP="00873094">
      <w:pPr>
        <w:pStyle w:val="TableHeading"/>
        <w:numPr>
          <w:ilvl w:val="4"/>
          <w:numId w:val="3"/>
        </w:numPr>
      </w:pPr>
      <w:r w:rsidRPr="002D3B91">
        <w:t>Comparison of new law and current law</w:t>
      </w:r>
    </w:p>
    <w:tbl>
      <w:tblPr>
        <w:tblStyle w:val="Treasurytable"/>
        <w:tblW w:w="0" w:type="auto"/>
        <w:tblLook w:val="01E0" w:firstRow="1" w:lastRow="1" w:firstColumn="1" w:lastColumn="1" w:noHBand="0" w:noVBand="0"/>
      </w:tblPr>
      <w:tblGrid>
        <w:gridCol w:w="3776"/>
        <w:gridCol w:w="3874"/>
      </w:tblGrid>
      <w:tr w:rsidR="00873094" w:rsidRPr="00020288" w14:paraId="491892C9" w14:textId="77777777" w:rsidTr="002425D9">
        <w:trPr>
          <w:cnfStyle w:val="100000000000" w:firstRow="1" w:lastRow="0" w:firstColumn="0" w:lastColumn="0" w:oddVBand="0" w:evenVBand="0" w:oddHBand="0" w:evenHBand="0" w:firstRowFirstColumn="0" w:firstRowLastColumn="0" w:lastRowFirstColumn="0" w:lastRowLastColumn="0"/>
        </w:trPr>
        <w:tc>
          <w:tcPr>
            <w:tcW w:w="3776" w:type="dxa"/>
          </w:tcPr>
          <w:p w14:paraId="25FC90BC" w14:textId="77777777" w:rsidR="00873094" w:rsidRPr="00A61FE9" w:rsidRDefault="00873094" w:rsidP="00873094">
            <w:pPr>
              <w:pStyle w:val="Tableheaderrowtext"/>
              <w:numPr>
                <w:ilvl w:val="3"/>
                <w:numId w:val="2"/>
              </w:numPr>
              <w:ind w:left="1701" w:hanging="1701"/>
            </w:pPr>
            <w:r w:rsidRPr="00A61FE9">
              <w:t>New law</w:t>
            </w:r>
          </w:p>
        </w:tc>
        <w:tc>
          <w:tcPr>
            <w:tcW w:w="3874" w:type="dxa"/>
          </w:tcPr>
          <w:p w14:paraId="65495396" w14:textId="77777777" w:rsidR="00873094" w:rsidRPr="00A61FE9" w:rsidRDefault="00873094" w:rsidP="00873094">
            <w:pPr>
              <w:pStyle w:val="Tableheaderrowtext"/>
              <w:numPr>
                <w:ilvl w:val="3"/>
                <w:numId w:val="2"/>
              </w:numPr>
              <w:ind w:left="1701" w:hanging="1701"/>
            </w:pPr>
            <w:r w:rsidRPr="00A61FE9">
              <w:t>Current law</w:t>
            </w:r>
          </w:p>
        </w:tc>
      </w:tr>
      <w:tr w:rsidR="00873094" w:rsidRPr="00020288" w14:paraId="0F5F1BBB" w14:textId="77777777" w:rsidTr="002425D9">
        <w:tc>
          <w:tcPr>
            <w:tcW w:w="3776" w:type="dxa"/>
          </w:tcPr>
          <w:p w14:paraId="4EC3F512" w14:textId="71160046" w:rsidR="00873094" w:rsidRPr="00020288" w:rsidRDefault="00F2237F" w:rsidP="003137FA">
            <w:pPr>
              <w:pStyle w:val="Tabletext"/>
              <w:ind w:left="0"/>
            </w:pPr>
            <w:r>
              <w:t xml:space="preserve">Expenditure incurred to the extent that it is for </w:t>
            </w:r>
            <w:r w:rsidR="00A05FA0">
              <w:t>GIC and SIC</w:t>
            </w:r>
            <w:r w:rsidR="003137FA">
              <w:t xml:space="preserve"> </w:t>
            </w:r>
            <w:r w:rsidR="003E6E94">
              <w:t>is</w:t>
            </w:r>
            <w:r w:rsidR="003137FA">
              <w:t xml:space="preserve"> no longer tax deductible</w:t>
            </w:r>
            <w:r>
              <w:t>.</w:t>
            </w:r>
          </w:p>
        </w:tc>
        <w:tc>
          <w:tcPr>
            <w:tcW w:w="3874" w:type="dxa"/>
          </w:tcPr>
          <w:p w14:paraId="4E9D9B64" w14:textId="003761CC" w:rsidR="00873094" w:rsidRPr="00020288" w:rsidRDefault="002A52A9" w:rsidP="002425D9">
            <w:pPr>
              <w:pStyle w:val="Tabletext"/>
            </w:pPr>
            <w:r>
              <w:t>T</w:t>
            </w:r>
            <w:r w:rsidRPr="007B6466">
              <w:t xml:space="preserve">axpayers may claim deductions on expenditure incurred to the extent that it is for </w:t>
            </w:r>
            <w:r w:rsidR="00A05FA0">
              <w:t>GIC and SIC</w:t>
            </w:r>
            <w:r w:rsidRPr="007B6466">
              <w:t xml:space="preserve"> in the year in which the charges are incurred.</w:t>
            </w:r>
          </w:p>
        </w:tc>
      </w:tr>
    </w:tbl>
    <w:p w14:paraId="67606723" w14:textId="77777777" w:rsidR="00873094" w:rsidRPr="00020288" w:rsidRDefault="00873094" w:rsidP="00873094">
      <w:pPr>
        <w:pStyle w:val="Heading2"/>
        <w:numPr>
          <w:ilvl w:val="1"/>
          <w:numId w:val="2"/>
        </w:numPr>
        <w:tabs>
          <w:tab w:val="num" w:pos="567"/>
        </w:tabs>
        <w:ind w:left="567" w:hanging="567"/>
      </w:pPr>
      <w:r w:rsidRPr="00020288">
        <w:t>Detailed explanation of new law</w:t>
      </w:r>
    </w:p>
    <w:p w14:paraId="60498031" w14:textId="01CACB06" w:rsidR="0001024E" w:rsidRDefault="0001024E" w:rsidP="0001024E">
      <w:pPr>
        <w:pStyle w:val="Normalparatextwithnumbers"/>
      </w:pPr>
      <w:r>
        <w:t xml:space="preserve">Currently taxpayers may claim deductions on expenditure incurred to the extent that it is for </w:t>
      </w:r>
      <w:r w:rsidR="00A05FA0">
        <w:t>GIC or SIC</w:t>
      </w:r>
      <w:r>
        <w:t xml:space="preserve"> in the year in which the charges are incurred. </w:t>
      </w:r>
    </w:p>
    <w:p w14:paraId="7861910A" w14:textId="3B23AB0F" w:rsidR="00873094" w:rsidRDefault="005461CF" w:rsidP="00A3693E">
      <w:pPr>
        <w:pStyle w:val="Normalparatextwithnumbers"/>
        <w:numPr>
          <w:ilvl w:val="1"/>
          <w:numId w:val="3"/>
        </w:numPr>
        <w:spacing w:before="0" w:after="0"/>
      </w:pPr>
      <w:r>
        <w:t>These amendments deny</w:t>
      </w:r>
      <w:r w:rsidRPr="000258C7">
        <w:t xml:space="preserve"> deductions for </w:t>
      </w:r>
      <w:r w:rsidR="00A05FA0">
        <w:t xml:space="preserve">GIC </w:t>
      </w:r>
      <w:r w:rsidR="0048704B">
        <w:t>and</w:t>
      </w:r>
      <w:r w:rsidR="00A05FA0">
        <w:t xml:space="preserve"> SIC</w:t>
      </w:r>
      <w:r w:rsidRPr="000258C7">
        <w:t xml:space="preserve"> by repealing </w:t>
      </w:r>
      <w:r w:rsidR="00667797" w:rsidRPr="000258C7">
        <w:t>paragraph</w:t>
      </w:r>
      <w:r w:rsidR="00667797">
        <w:t> </w:t>
      </w:r>
      <w:r w:rsidRPr="000258C7">
        <w:t>25-5(1)(c) of the ITAA 1997</w:t>
      </w:r>
      <w:r>
        <w:t>.</w:t>
      </w:r>
    </w:p>
    <w:p w14:paraId="20FC3319" w14:textId="0E70D2D1" w:rsidR="00A32475" w:rsidRPr="009C0BC8" w:rsidRDefault="00A3693E" w:rsidP="009C0BC8">
      <w:pPr>
        <w:pStyle w:val="Normalparatextwithnumbers"/>
        <w:numPr>
          <w:ilvl w:val="0"/>
          <w:numId w:val="0"/>
        </w:numPr>
        <w:spacing w:before="0"/>
        <w:ind w:left="709"/>
        <w:rPr>
          <w:b/>
          <w:bCs/>
          <w:i/>
          <w:iCs/>
        </w:rPr>
      </w:pPr>
      <w:r>
        <w:rPr>
          <w:rStyle w:val="References"/>
        </w:rPr>
        <w:t xml:space="preserve">[Schedule 1, item </w:t>
      </w:r>
      <w:r w:rsidR="000E479C">
        <w:rPr>
          <w:rStyle w:val="References"/>
        </w:rPr>
        <w:t>1</w:t>
      </w:r>
      <w:r>
        <w:rPr>
          <w:rStyle w:val="References"/>
        </w:rPr>
        <w:t>, paragraph 25-5(1)(c) of the ITAA 1997]</w:t>
      </w:r>
    </w:p>
    <w:p w14:paraId="750161C9" w14:textId="77777777" w:rsidR="00A32475" w:rsidRDefault="00A32475" w:rsidP="00A32475">
      <w:pPr>
        <w:pStyle w:val="Normalparatextwithnumbers"/>
        <w:numPr>
          <w:ilvl w:val="1"/>
          <w:numId w:val="3"/>
        </w:numPr>
        <w:spacing w:before="0"/>
      </w:pPr>
      <w:r>
        <w:t xml:space="preserve">Taxpayers will continue to have the ability to apply to the ATO and request the remission of any GIC or SIC payable. The Commissioner has the discretion to remit the interest charges where it is fair and reasonable to do so, taking into consideration the circumstances which led to the delayed payment of tax liabilities or the tax shortfall. As provided by PS LA 2011/12, in regard to GIC, circumstances the Commissioner may take into account include but are not limited to where the delay in payment was not the fault of the taxpayer such as in the event of natural disaster, where the delay in payment was caused by the </w:t>
      </w:r>
      <w:r w:rsidRPr="00766DD9">
        <w:t xml:space="preserve">taxpayer </w:t>
      </w:r>
      <w:r>
        <w:t>but they have taken steps to</w:t>
      </w:r>
      <w:r w:rsidRPr="00766DD9">
        <w:t xml:space="preserve"> reduce the severity and impact of the circumstances</w:t>
      </w:r>
      <w:r>
        <w:t>, or in special situations such as where the taxpayer has a good tax compliance history.</w:t>
      </w:r>
    </w:p>
    <w:p w14:paraId="3831E2A2" w14:textId="1EE93E22" w:rsidR="00A32475" w:rsidRDefault="00A32475" w:rsidP="00E27DD8">
      <w:pPr>
        <w:pStyle w:val="Normalparatextwithnumbers"/>
        <w:numPr>
          <w:ilvl w:val="1"/>
          <w:numId w:val="3"/>
        </w:numPr>
        <w:spacing w:before="0"/>
      </w:pPr>
      <w:r>
        <w:t xml:space="preserve">In relation to SIC as provided in PS LA 2006/8, circumstances the Commissioner may </w:t>
      </w:r>
      <w:proofErr w:type="gramStart"/>
      <w:r>
        <w:t>take into account</w:t>
      </w:r>
      <w:proofErr w:type="gramEnd"/>
      <w:r>
        <w:t xml:space="preserve"> when deciding to remit SIC include but are not limited to where there is a delay in the processing a request to for an amended assessment or where there has been unreasonable delay caused by the ATO in the commencement or completion of an audit.</w:t>
      </w:r>
    </w:p>
    <w:p w14:paraId="5301E16E" w14:textId="6CD03285" w:rsidR="00A32475" w:rsidRDefault="00A32475" w:rsidP="00A32475">
      <w:pPr>
        <w:pStyle w:val="Normalparatextwithnumbers"/>
        <w:numPr>
          <w:ilvl w:val="1"/>
          <w:numId w:val="3"/>
        </w:numPr>
        <w:spacing w:before="0"/>
      </w:pPr>
      <w:r>
        <w:t>As GIC and SIC are no longer deductible, the remittance of the interest charges will no longer be considered an assessable recoupment as provided under subsection 20-20(3) of the ITAA 1997.</w:t>
      </w:r>
    </w:p>
    <w:p w14:paraId="31707B2C" w14:textId="39E4DE34" w:rsidR="005F7091" w:rsidRDefault="009D279D" w:rsidP="009D279D">
      <w:pPr>
        <w:pStyle w:val="Normalparatextwithnumbers"/>
        <w:numPr>
          <w:ilvl w:val="1"/>
          <w:numId w:val="3"/>
        </w:numPr>
        <w:spacing w:before="0" w:after="0"/>
      </w:pPr>
      <w:r>
        <w:lastRenderedPageBreak/>
        <w:t>The amendments</w:t>
      </w:r>
      <w:r w:rsidR="007F1E14">
        <w:t xml:space="preserve"> also insert a new subsection into section 26-5</w:t>
      </w:r>
      <w:r w:rsidR="008456C1">
        <w:t xml:space="preserve">, which </w:t>
      </w:r>
      <w:r w:rsidR="0035527B">
        <w:t>provides that without limiting paragraph 26-5(1)(a), the GIC and SIC cannot be deducted under the ITAA 1997.</w:t>
      </w:r>
      <w:r w:rsidR="005470ED">
        <w:t xml:space="preserve"> </w:t>
      </w:r>
    </w:p>
    <w:p w14:paraId="3AC58244" w14:textId="7C35054F" w:rsidR="005A2A0E" w:rsidRDefault="005A2A0E" w:rsidP="005A2A0E">
      <w:pPr>
        <w:pStyle w:val="Normalparatextwithnumbers"/>
        <w:numPr>
          <w:ilvl w:val="0"/>
          <w:numId w:val="0"/>
        </w:numPr>
        <w:spacing w:before="0" w:after="0"/>
        <w:ind w:left="709"/>
      </w:pPr>
      <w:r>
        <w:rPr>
          <w:rStyle w:val="References"/>
        </w:rPr>
        <w:t xml:space="preserve">[Schedule 1, item </w:t>
      </w:r>
      <w:r w:rsidR="00F54772">
        <w:rPr>
          <w:rStyle w:val="References"/>
        </w:rPr>
        <w:t>3</w:t>
      </w:r>
      <w:r>
        <w:rPr>
          <w:rStyle w:val="References"/>
        </w:rPr>
        <w:t>, subsection 26-5(1A) of the ITAA 1997]</w:t>
      </w:r>
    </w:p>
    <w:p w14:paraId="36BB1006" w14:textId="62982A60" w:rsidR="005F7091" w:rsidRDefault="00F23DB7" w:rsidP="005A2A0E">
      <w:pPr>
        <w:pStyle w:val="Normalparatextwithnumbers"/>
        <w:numPr>
          <w:ilvl w:val="1"/>
          <w:numId w:val="3"/>
        </w:numPr>
        <w:spacing w:after="0"/>
      </w:pPr>
      <w:r>
        <w:t xml:space="preserve">As provided by the </w:t>
      </w:r>
      <w:r w:rsidRPr="00371BFB">
        <w:rPr>
          <w:i/>
          <w:iCs/>
        </w:rPr>
        <w:t>General Interest Charge (Imposition) Act 1998</w:t>
      </w:r>
      <w:r>
        <w:t xml:space="preserve"> and the </w:t>
      </w:r>
      <w:r w:rsidRPr="00371BFB">
        <w:rPr>
          <w:i/>
          <w:iCs/>
        </w:rPr>
        <w:t>Shortfall Interest Charge (Imposition) Act 2005</w:t>
      </w:r>
      <w:r>
        <w:t xml:space="preserve">, GIC and SIC may be imposed as a tax </w:t>
      </w:r>
      <w:r w:rsidR="00521290">
        <w:t>to the extent to which</w:t>
      </w:r>
      <w:r>
        <w:t xml:space="preserve"> they cannot be validly imposed otherwise than as a tax</w:t>
      </w:r>
      <w:r w:rsidR="00667797">
        <w:t>, for example, as a penalty</w:t>
      </w:r>
      <w:r>
        <w:t xml:space="preserve">. </w:t>
      </w:r>
      <w:r w:rsidR="00521290">
        <w:t>Therefore, this</w:t>
      </w:r>
      <w:r>
        <w:t xml:space="preserve"> amendment operates to </w:t>
      </w:r>
      <w:r w:rsidR="00667797">
        <w:t xml:space="preserve">ensure </w:t>
      </w:r>
      <w:r w:rsidR="00591DB2">
        <w:t>that</w:t>
      </w:r>
      <w:r>
        <w:t xml:space="preserve"> </w:t>
      </w:r>
      <w:r w:rsidR="00667797">
        <w:t xml:space="preserve">the non-deductibility of penalties under </w:t>
      </w:r>
      <w:r>
        <w:t xml:space="preserve">section 26-5 applies to deny the deductibility of the </w:t>
      </w:r>
      <w:r w:rsidR="005F7547">
        <w:t>GIC and SIC</w:t>
      </w:r>
      <w:r>
        <w:t xml:space="preserve"> </w:t>
      </w:r>
      <w:r w:rsidR="00667797">
        <w:t>regardless of whether GIC or SIC are formally imposed as</w:t>
      </w:r>
      <w:r>
        <w:t xml:space="preserve"> penalties</w:t>
      </w:r>
      <w:r w:rsidR="00667797">
        <w:t xml:space="preserve"> or in some other way</w:t>
      </w:r>
      <w:r w:rsidR="00591DB2">
        <w:t>.</w:t>
      </w:r>
    </w:p>
    <w:p w14:paraId="1F8599C1" w14:textId="77777777" w:rsidR="00873094" w:rsidRPr="00020288" w:rsidRDefault="00873094" w:rsidP="005D0844">
      <w:pPr>
        <w:pStyle w:val="Heading2"/>
      </w:pPr>
      <w:bookmarkStart w:id="44" w:name="_Toc78193246"/>
      <w:bookmarkStart w:id="45" w:name="_Toc78193403"/>
      <w:bookmarkStart w:id="46" w:name="_Toc78548476"/>
      <w:bookmarkStart w:id="47" w:name="_Toc78549747"/>
      <w:bookmarkStart w:id="48" w:name="_Toc78549791"/>
      <w:r w:rsidRPr="005D0844">
        <w:t>Consequential</w:t>
      </w:r>
      <w:r w:rsidRPr="00020288">
        <w:t xml:space="preserve"> amendments</w:t>
      </w:r>
    </w:p>
    <w:p w14:paraId="63683FD4" w14:textId="2C58DE1B" w:rsidR="00873094" w:rsidRDefault="0094591F" w:rsidP="00B2653F">
      <w:pPr>
        <w:pStyle w:val="Normalparatextwithnumbers"/>
        <w:numPr>
          <w:ilvl w:val="1"/>
          <w:numId w:val="3"/>
        </w:numPr>
        <w:spacing w:before="0" w:after="0"/>
      </w:pPr>
      <w:r>
        <w:t xml:space="preserve">The </w:t>
      </w:r>
      <w:r w:rsidR="00281A8C">
        <w:t>amendments</w:t>
      </w:r>
      <w:r>
        <w:t xml:space="preserve"> repeal subsection </w:t>
      </w:r>
      <w:r w:rsidR="00281A8C">
        <w:t>25-5(7) of the ITAA 1997</w:t>
      </w:r>
      <w:r w:rsidR="0071361B">
        <w:t xml:space="preserve"> which </w:t>
      </w:r>
      <w:r w:rsidR="00C30EA6">
        <w:t>prevents the</w:t>
      </w:r>
      <w:r w:rsidR="0071361B">
        <w:t xml:space="preserve"> double deduction</w:t>
      </w:r>
      <w:r w:rsidR="00E301B0">
        <w:t xml:space="preserve"> for GIC on a running balance account.</w:t>
      </w:r>
      <w:r w:rsidR="00C30EA6">
        <w:t xml:space="preserve"> This provision is no longer necessary as GIC </w:t>
      </w:r>
      <w:r w:rsidR="005C0C5C">
        <w:t xml:space="preserve">will </w:t>
      </w:r>
      <w:r w:rsidR="00C30EA6">
        <w:t>no longer be deduct</w:t>
      </w:r>
      <w:r w:rsidR="004E225E">
        <w:t>i</w:t>
      </w:r>
      <w:r w:rsidR="00C30EA6">
        <w:t>ble.</w:t>
      </w:r>
    </w:p>
    <w:p w14:paraId="785EE3F1" w14:textId="3B9926E2" w:rsidR="001D34B8" w:rsidRPr="00B2653F" w:rsidRDefault="00B2653F" w:rsidP="00B2653F">
      <w:pPr>
        <w:pStyle w:val="Normalparatextwithnumbers"/>
        <w:numPr>
          <w:ilvl w:val="0"/>
          <w:numId w:val="0"/>
        </w:numPr>
        <w:spacing w:before="0" w:after="0"/>
        <w:ind w:left="709"/>
        <w:rPr>
          <w:rStyle w:val="References"/>
        </w:rPr>
      </w:pPr>
      <w:r>
        <w:rPr>
          <w:rStyle w:val="References"/>
        </w:rPr>
        <w:t xml:space="preserve">[schedule 1, item </w:t>
      </w:r>
      <w:r w:rsidR="00F54772">
        <w:rPr>
          <w:rStyle w:val="References"/>
        </w:rPr>
        <w:t>2</w:t>
      </w:r>
      <w:r>
        <w:rPr>
          <w:rStyle w:val="References"/>
        </w:rPr>
        <w:t>, subsection 25-5(7) of the ITAA 1997]</w:t>
      </w:r>
    </w:p>
    <w:p w14:paraId="36E3C4EF" w14:textId="77777777" w:rsidR="00873094" w:rsidRPr="00020288" w:rsidRDefault="00873094" w:rsidP="00AF50CE">
      <w:pPr>
        <w:pStyle w:val="Heading2"/>
      </w:pPr>
      <w:r w:rsidRPr="00020288">
        <w:t xml:space="preserve">Commencement, </w:t>
      </w:r>
      <w:r w:rsidRPr="00AF50CE">
        <w:t>application</w:t>
      </w:r>
      <w:r w:rsidRPr="00020288">
        <w:t>, and transitional provisions</w:t>
      </w:r>
    </w:p>
    <w:p w14:paraId="5B06E39B" w14:textId="56156A3F" w:rsidR="009A5A85" w:rsidRDefault="00F2425A" w:rsidP="0024356E">
      <w:pPr>
        <w:pStyle w:val="Normalparatextwithnumbers"/>
      </w:pPr>
      <w:r>
        <w:t xml:space="preserve">Schedule 1 to the Bill commences on the first 1 January, 1 April, 1 </w:t>
      </w:r>
      <w:r w:rsidR="003F267C">
        <w:t>July,</w:t>
      </w:r>
      <w:r>
        <w:t xml:space="preserve"> or 1 October to occur after the day the Bill receives Royal Assent</w:t>
      </w:r>
      <w:r w:rsidR="009A5A85">
        <w:t>.</w:t>
      </w:r>
    </w:p>
    <w:p w14:paraId="3256A8E5" w14:textId="1CBA1561" w:rsidR="009A5A85" w:rsidRDefault="00F2425A" w:rsidP="003F267C">
      <w:pPr>
        <w:pStyle w:val="Normalparatextwithnumbers"/>
        <w:spacing w:before="0" w:after="0"/>
      </w:pPr>
      <w:r>
        <w:t>The amendments apply to SIC and GIC incurred in income years commencing on or after 1 July 2025.</w:t>
      </w:r>
      <w:r w:rsidR="003E6AF5">
        <w:t xml:space="preserve"> </w:t>
      </w:r>
      <w:r w:rsidR="00821428">
        <w:t>Linking the application</w:t>
      </w:r>
      <w:r w:rsidR="00847671">
        <w:t xml:space="preserve"> of the amendments to charges incurred on or after the star</w:t>
      </w:r>
      <w:r w:rsidR="3827CCC2">
        <w:t>t</w:t>
      </w:r>
      <w:r w:rsidR="00847671">
        <w:t xml:space="preserve"> date i</w:t>
      </w:r>
      <w:r w:rsidR="003E6AF5">
        <w:t xml:space="preserve">s consistent </w:t>
      </w:r>
      <w:r w:rsidR="00EA4096">
        <w:t xml:space="preserve">with the </w:t>
      </w:r>
      <w:r w:rsidR="00043512">
        <w:t>established principle of deductibility being tied to when an expense is incurred.</w:t>
      </w:r>
    </w:p>
    <w:p w14:paraId="3DBAFFA1" w14:textId="5C1176B0" w:rsidR="00F24239" w:rsidRPr="00F24239" w:rsidRDefault="00F24239" w:rsidP="003F267C">
      <w:pPr>
        <w:pStyle w:val="Normalparatextwithnumbers"/>
        <w:numPr>
          <w:ilvl w:val="0"/>
          <w:numId w:val="0"/>
        </w:numPr>
        <w:spacing w:before="0" w:after="0"/>
        <w:ind w:left="709"/>
        <w:rPr>
          <w:rStyle w:val="References"/>
        </w:rPr>
      </w:pPr>
      <w:r>
        <w:rPr>
          <w:rStyle w:val="References"/>
        </w:rPr>
        <w:t>[Schedule 1, item</w:t>
      </w:r>
      <w:r w:rsidR="003F267C">
        <w:rPr>
          <w:rStyle w:val="References"/>
        </w:rPr>
        <w:t xml:space="preserve"> </w:t>
      </w:r>
      <w:r w:rsidR="00F54772">
        <w:rPr>
          <w:rStyle w:val="References"/>
        </w:rPr>
        <w:t>4</w:t>
      </w:r>
      <w:r w:rsidR="003F267C">
        <w:rPr>
          <w:rStyle w:val="References"/>
        </w:rPr>
        <w:t>]</w:t>
      </w:r>
    </w:p>
    <w:bookmarkEnd w:id="5"/>
    <w:bookmarkEnd w:id="44"/>
    <w:bookmarkEnd w:id="45"/>
    <w:bookmarkEnd w:id="46"/>
    <w:bookmarkEnd w:id="47"/>
    <w:bookmarkEnd w:id="48"/>
    <w:p w14:paraId="029978B7" w14:textId="77777777" w:rsidR="00B77D03" w:rsidRDefault="00B77D03" w:rsidP="00ED3956">
      <w:pPr>
        <w:pStyle w:val="Normalparatextnonumbers"/>
      </w:pPr>
    </w:p>
    <w:sectPr w:rsidR="00B77D03" w:rsidSect="00000BFC">
      <w:footerReference w:type="even" r:id="rId24"/>
      <w:footerReference w:type="default" r:id="rId25"/>
      <w:headerReference w:type="first" r:id="rId26"/>
      <w:footerReference w:type="first" r:id="rId27"/>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5D653" w14:textId="77777777" w:rsidR="0066034E" w:rsidRDefault="0066034E">
      <w:pPr>
        <w:spacing w:before="0" w:after="0"/>
      </w:pPr>
      <w:r>
        <w:separator/>
      </w:r>
    </w:p>
  </w:endnote>
  <w:endnote w:type="continuationSeparator" w:id="0">
    <w:p w14:paraId="69D77775" w14:textId="77777777" w:rsidR="0066034E" w:rsidRDefault="0066034E">
      <w:pPr>
        <w:spacing w:before="0" w:after="0"/>
      </w:pPr>
      <w:r>
        <w:continuationSeparator/>
      </w:r>
    </w:p>
  </w:endnote>
  <w:endnote w:type="continuationNotice" w:id="1">
    <w:p w14:paraId="735CE996" w14:textId="77777777" w:rsidR="0066034E" w:rsidRDefault="0066034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6308" w14:textId="3F721403" w:rsidR="002A52A9" w:rsidRDefault="002A52A9">
    <w:pPr>
      <w:pStyle w:val="Footer"/>
    </w:pPr>
    <w:r>
      <w:rPr>
        <w:noProof/>
      </w:rPr>
      <mc:AlternateContent>
        <mc:Choice Requires="wps">
          <w:drawing>
            <wp:anchor distT="0" distB="0" distL="0" distR="0" simplePos="0" relativeHeight="251657728" behindDoc="0" locked="0" layoutInCell="1" allowOverlap="1" wp14:anchorId="16769DE5" wp14:editId="4770B3BB">
              <wp:simplePos x="635" y="635"/>
              <wp:positionH relativeFrom="page">
                <wp:align>center</wp:align>
              </wp:positionH>
              <wp:positionV relativeFrom="page">
                <wp:align>bottom</wp:align>
              </wp:positionV>
              <wp:extent cx="443865" cy="443865"/>
              <wp:effectExtent l="0" t="0" r="0" b="0"/>
              <wp:wrapNone/>
              <wp:docPr id="29" name="Text Box 29" descr="OFFICIAL: Sensitive 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743354" w14:textId="0D3112C0" w:rsidR="002A52A9" w:rsidRPr="002A52A9" w:rsidRDefault="002A52A9" w:rsidP="002A52A9">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769DE5" id="_x0000_t202" coordsize="21600,21600" o:spt="202" path="m,l,21600r21600,l21600,xe">
              <v:stroke joinstyle="miter"/>
              <v:path gradientshapeok="t" o:connecttype="rect"/>
            </v:shapetype>
            <v:shape id="Text Box 29" o:spid="_x0000_s1027" type="#_x0000_t202" alt="OFFICIAL: Sensitive Legal Privilege"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E743354" w14:textId="0D3112C0" w:rsidR="002A52A9" w:rsidRPr="002A52A9" w:rsidRDefault="002A52A9" w:rsidP="002A52A9">
                    <w:pPr>
                      <w:spacing w:after="0"/>
                      <w:rPr>
                        <w:rFonts w:ascii="Calibri" w:eastAsia="Calibri" w:hAnsi="Calibri" w:cs="Calibri"/>
                        <w:noProof/>
                        <w:color w:val="FF0000"/>
                        <w:sz w:val="24"/>
                        <w:szCs w:val="24"/>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1048" w14:textId="49387DF3" w:rsidR="002A52A9" w:rsidRDefault="00ED3956" w:rsidP="00ED3956">
    <w:pPr>
      <w:pStyle w:val="leftfooter"/>
    </w:pPr>
    <w:r>
      <w:fldChar w:fldCharType="begin"/>
    </w:r>
    <w:r>
      <w:instrText xml:space="preserve"> PAGE  \* MERGEFORMAT </w:instrText>
    </w:r>
    <w:r>
      <w:fldChar w:fldCharType="separate"/>
    </w:r>
    <w:r>
      <w:rPr>
        <w:noProof/>
      </w:rPr>
      <w:t>6</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71C6" w14:textId="1A12D27C" w:rsidR="002A52A9" w:rsidRDefault="00ED3956" w:rsidP="00ED3956">
    <w:pPr>
      <w:pStyle w:val="rightfooter"/>
    </w:pPr>
    <w:r>
      <w:fldChar w:fldCharType="begin"/>
    </w:r>
    <w:r>
      <w:instrText xml:space="preserve"> PAGE  \* MERGEFORMAT </w:instrText>
    </w:r>
    <w:r>
      <w:fldChar w:fldCharType="separate"/>
    </w:r>
    <w:r>
      <w:rPr>
        <w:noProof/>
      </w:rPr>
      <w:t>7</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3797" w14:textId="1269724B" w:rsidR="002A52A9" w:rsidRDefault="002A52A9" w:rsidP="00ED3956">
    <w:pPr>
      <w:pStyle w:val="right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8D35" w14:textId="17130D1F" w:rsidR="002A52A9" w:rsidRDefault="002A52A9">
    <w:pPr>
      <w:pStyle w:val="Footer"/>
    </w:pPr>
    <w:r>
      <w:rPr>
        <w:noProof/>
      </w:rPr>
      <mc:AlternateContent>
        <mc:Choice Requires="wps">
          <w:drawing>
            <wp:anchor distT="0" distB="0" distL="0" distR="0" simplePos="0" relativeHeight="251658752" behindDoc="0" locked="0" layoutInCell="1" allowOverlap="1" wp14:anchorId="50EB140F" wp14:editId="10271123">
              <wp:simplePos x="720725" y="8238490"/>
              <wp:positionH relativeFrom="page">
                <wp:align>center</wp:align>
              </wp:positionH>
              <wp:positionV relativeFrom="page">
                <wp:align>bottom</wp:align>
              </wp:positionV>
              <wp:extent cx="443865" cy="443865"/>
              <wp:effectExtent l="0" t="0" r="0" b="0"/>
              <wp:wrapNone/>
              <wp:docPr id="30" name="Text Box 30" descr="OFFICIAL: Sensitive 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A4F293" w14:textId="5FFAE970" w:rsidR="002A52A9" w:rsidRPr="002A52A9" w:rsidRDefault="002A52A9" w:rsidP="002A52A9">
                          <w:pPr>
                            <w:spacing w:after="0"/>
                            <w:rPr>
                              <w:rFonts w:ascii="Calibri" w:eastAsia="Calibri" w:hAnsi="Calibri" w:cs="Calibri"/>
                              <w:noProof/>
                              <w:color w:val="FF0000"/>
                              <w:sz w:val="24"/>
                              <w:szCs w:val="24"/>
                            </w:rPr>
                          </w:pPr>
                          <w:r w:rsidRPr="002A52A9">
                            <w:rPr>
                              <w:rFonts w:ascii="Calibri" w:eastAsia="Calibri" w:hAnsi="Calibri" w:cs="Calibri"/>
                              <w:noProof/>
                              <w:color w:val="FF0000"/>
                              <w:sz w:val="24"/>
                              <w:szCs w:val="24"/>
                            </w:rPr>
                            <w:t>OFFICIAL: Sensitive 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EB140F" id="_x0000_t202" coordsize="21600,21600" o:spt="202" path="m,l,21600r21600,l21600,xe">
              <v:stroke joinstyle="miter"/>
              <v:path gradientshapeok="t" o:connecttype="rect"/>
            </v:shapetype>
            <v:shape id="Text Box 30" o:spid="_x0000_s1028" type="#_x0000_t202" alt="OFFICIAL: Sensitive Legal Privilege"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1A4F293" w14:textId="5FFAE970" w:rsidR="002A52A9" w:rsidRPr="002A52A9" w:rsidRDefault="002A52A9" w:rsidP="002A52A9">
                    <w:pPr>
                      <w:spacing w:after="0"/>
                      <w:rPr>
                        <w:rFonts w:ascii="Calibri" w:eastAsia="Calibri" w:hAnsi="Calibri" w:cs="Calibri"/>
                        <w:noProof/>
                        <w:color w:val="FF0000"/>
                        <w:sz w:val="24"/>
                        <w:szCs w:val="24"/>
                      </w:rPr>
                    </w:pPr>
                    <w:r w:rsidRPr="002A52A9">
                      <w:rPr>
                        <w:rFonts w:ascii="Calibri" w:eastAsia="Calibri" w:hAnsi="Calibri" w:cs="Calibri"/>
                        <w:noProof/>
                        <w:color w:val="FF0000"/>
                        <w:sz w:val="24"/>
                        <w:szCs w:val="24"/>
                      </w:rPr>
                      <w:t>OFFICIAL: Sensitive Legal Privilege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53BA" w14:textId="2BCCA365" w:rsidR="007A2DBD" w:rsidRDefault="002A52A9" w:rsidP="002425D9">
    <w:pPr>
      <w:pStyle w:val="Footer"/>
      <w:ind w:right="360" w:firstLine="360"/>
      <w:jc w:val="right"/>
    </w:pPr>
    <w:r>
      <w:rPr>
        <w:noProof/>
      </w:rPr>
      <mc:AlternateContent>
        <mc:Choice Requires="wps">
          <w:drawing>
            <wp:anchor distT="0" distB="0" distL="0" distR="0" simplePos="0" relativeHeight="251656704" behindDoc="0" locked="0" layoutInCell="1" allowOverlap="1" wp14:anchorId="64A5303B" wp14:editId="75728436">
              <wp:simplePos x="720725" y="8238490"/>
              <wp:positionH relativeFrom="page">
                <wp:align>center</wp:align>
              </wp:positionH>
              <wp:positionV relativeFrom="page">
                <wp:align>bottom</wp:align>
              </wp:positionV>
              <wp:extent cx="443865" cy="443865"/>
              <wp:effectExtent l="0" t="0" r="0" b="0"/>
              <wp:wrapNone/>
              <wp:docPr id="28" name="Text Box 28" descr="OFFICIAL: Sensitive 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A3B456" w14:textId="3A52CB8B" w:rsidR="002A52A9" w:rsidRPr="002A52A9" w:rsidRDefault="002A52A9" w:rsidP="002A52A9">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A5303B" id="_x0000_t202" coordsize="21600,21600" o:spt="202" path="m,l,21600r21600,l21600,xe">
              <v:stroke joinstyle="miter"/>
              <v:path gradientshapeok="t" o:connecttype="rect"/>
            </v:shapetype>
            <v:shape id="Text Box 28" o:spid="_x0000_s1030" type="#_x0000_t202" alt="OFFICIAL: Sensitive Legal Privilege" style="position:absolute;left:0;text-align:left;margin-left:0;margin-top:0;width:34.95pt;height:34.95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25A3B456" w14:textId="3A52CB8B" w:rsidR="002A52A9" w:rsidRPr="002A52A9" w:rsidRDefault="002A52A9" w:rsidP="002A52A9">
                    <w:pPr>
                      <w:spacing w:after="0"/>
                      <w:rPr>
                        <w:rFonts w:ascii="Calibri" w:eastAsia="Calibri" w:hAnsi="Calibri" w:cs="Calibri"/>
                        <w:noProof/>
                        <w:color w:val="FF0000"/>
                        <w:sz w:val="24"/>
                        <w:szCs w:val="24"/>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3BE5" w14:textId="14F5AFF2" w:rsidR="002A52A9" w:rsidRDefault="002A52A9">
    <w:pPr>
      <w:pStyle w:val="Footer"/>
    </w:pPr>
    <w:r>
      <w:rPr>
        <w:noProof/>
      </w:rPr>
      <mc:AlternateContent>
        <mc:Choice Requires="wps">
          <w:drawing>
            <wp:anchor distT="0" distB="0" distL="0" distR="0" simplePos="0" relativeHeight="251659776" behindDoc="0" locked="0" layoutInCell="1" allowOverlap="1" wp14:anchorId="306B9E52" wp14:editId="493E43E4">
              <wp:simplePos x="635" y="635"/>
              <wp:positionH relativeFrom="page">
                <wp:align>center</wp:align>
              </wp:positionH>
              <wp:positionV relativeFrom="page">
                <wp:align>bottom</wp:align>
              </wp:positionV>
              <wp:extent cx="443865" cy="443865"/>
              <wp:effectExtent l="0" t="0" r="0" b="0"/>
              <wp:wrapNone/>
              <wp:docPr id="32" name="Text Box 32" descr="OFFICIAL: Sensitive 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1C657C" w14:textId="2E6E4E7E" w:rsidR="002A52A9" w:rsidRPr="002A52A9" w:rsidRDefault="002A52A9" w:rsidP="002A52A9">
                          <w:pPr>
                            <w:spacing w:after="0"/>
                            <w:rPr>
                              <w:rFonts w:ascii="Calibri" w:eastAsia="Calibri" w:hAnsi="Calibri" w:cs="Calibri"/>
                              <w:noProof/>
                              <w:color w:val="FF0000"/>
                              <w:sz w:val="24"/>
                              <w:szCs w:val="24"/>
                            </w:rPr>
                          </w:pPr>
                          <w:r w:rsidRPr="002A52A9">
                            <w:rPr>
                              <w:rFonts w:ascii="Calibri" w:eastAsia="Calibri" w:hAnsi="Calibri" w:cs="Calibri"/>
                              <w:noProof/>
                              <w:color w:val="FF0000"/>
                              <w:sz w:val="24"/>
                              <w:szCs w:val="24"/>
                            </w:rPr>
                            <w:t>OFFICIAL: Sensitive 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6B9E52" id="_x0000_t202" coordsize="21600,21600" o:spt="202" path="m,l,21600r21600,l21600,xe">
              <v:stroke joinstyle="miter"/>
              <v:path gradientshapeok="t" o:connecttype="rect"/>
            </v:shapetype>
            <v:shape id="Text Box 32" o:spid="_x0000_s1033" type="#_x0000_t202" alt="OFFICIAL: Sensitive Legal Privilege"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7A1C657C" w14:textId="2E6E4E7E" w:rsidR="002A52A9" w:rsidRPr="002A52A9" w:rsidRDefault="002A52A9" w:rsidP="002A52A9">
                    <w:pPr>
                      <w:spacing w:after="0"/>
                      <w:rPr>
                        <w:rFonts w:ascii="Calibri" w:eastAsia="Calibri" w:hAnsi="Calibri" w:cs="Calibri"/>
                        <w:noProof/>
                        <w:color w:val="FF0000"/>
                        <w:sz w:val="24"/>
                        <w:szCs w:val="24"/>
                      </w:rPr>
                    </w:pPr>
                    <w:r w:rsidRPr="002A52A9">
                      <w:rPr>
                        <w:rFonts w:ascii="Calibri" w:eastAsia="Calibri" w:hAnsi="Calibri" w:cs="Calibri"/>
                        <w:noProof/>
                        <w:color w:val="FF0000"/>
                        <w:sz w:val="24"/>
                        <w:szCs w:val="24"/>
                      </w:rPr>
                      <w:t>OFFICIAL: Sensitive Legal Privilege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D4B5" w14:textId="33905EB7" w:rsidR="002A52A9" w:rsidRDefault="002A52A9">
    <w:pPr>
      <w:pStyle w:val="Footer"/>
    </w:pPr>
    <w:r>
      <w:rPr>
        <w:noProof/>
      </w:rPr>
      <mc:AlternateContent>
        <mc:Choice Requires="wps">
          <w:drawing>
            <wp:anchor distT="0" distB="0" distL="0" distR="0" simplePos="0" relativeHeight="251660800" behindDoc="0" locked="0" layoutInCell="1" allowOverlap="1" wp14:anchorId="448E637A" wp14:editId="777E5E93">
              <wp:simplePos x="720725" y="8238490"/>
              <wp:positionH relativeFrom="page">
                <wp:align>center</wp:align>
              </wp:positionH>
              <wp:positionV relativeFrom="page">
                <wp:align>bottom</wp:align>
              </wp:positionV>
              <wp:extent cx="443865" cy="443865"/>
              <wp:effectExtent l="0" t="0" r="0" b="0"/>
              <wp:wrapNone/>
              <wp:docPr id="33" name="Text Box 33" descr="OFFICIAL: Sensitive 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FE7147" w14:textId="3B4C761A" w:rsidR="002A52A9" w:rsidRPr="002A52A9" w:rsidRDefault="002A52A9" w:rsidP="002A52A9">
                          <w:pPr>
                            <w:spacing w:after="0"/>
                            <w:rPr>
                              <w:rFonts w:ascii="Calibri" w:eastAsia="Calibri" w:hAnsi="Calibri" w:cs="Calibri"/>
                              <w:noProof/>
                              <w:color w:val="FF0000"/>
                              <w:sz w:val="24"/>
                              <w:szCs w:val="24"/>
                            </w:rPr>
                          </w:pPr>
                          <w:r w:rsidRPr="002A52A9">
                            <w:rPr>
                              <w:rFonts w:ascii="Calibri" w:eastAsia="Calibri" w:hAnsi="Calibri" w:cs="Calibri"/>
                              <w:noProof/>
                              <w:color w:val="FF0000"/>
                              <w:sz w:val="24"/>
                              <w:szCs w:val="24"/>
                            </w:rPr>
                            <w:t>OFFICIAL: Sensitive 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8E637A" id="_x0000_t202" coordsize="21600,21600" o:spt="202" path="m,l,21600r21600,l21600,xe">
              <v:stroke joinstyle="miter"/>
              <v:path gradientshapeok="t" o:connecttype="rect"/>
            </v:shapetype>
            <v:shape id="Text Box 33" o:spid="_x0000_s1034" type="#_x0000_t202" alt="OFFICIAL: Sensitive Legal Privilege"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0BFE7147" w14:textId="3B4C761A" w:rsidR="002A52A9" w:rsidRPr="002A52A9" w:rsidRDefault="002A52A9" w:rsidP="002A52A9">
                    <w:pPr>
                      <w:spacing w:after="0"/>
                      <w:rPr>
                        <w:rFonts w:ascii="Calibri" w:eastAsia="Calibri" w:hAnsi="Calibri" w:cs="Calibri"/>
                        <w:noProof/>
                        <w:color w:val="FF0000"/>
                        <w:sz w:val="24"/>
                        <w:szCs w:val="24"/>
                      </w:rPr>
                    </w:pPr>
                    <w:r w:rsidRPr="002A52A9">
                      <w:rPr>
                        <w:rFonts w:ascii="Calibri" w:eastAsia="Calibri" w:hAnsi="Calibri" w:cs="Calibri"/>
                        <w:noProof/>
                        <w:color w:val="FF0000"/>
                        <w:sz w:val="24"/>
                        <w:szCs w:val="24"/>
                      </w:rPr>
                      <w:t>OFFICIAL: Sensitive Legal Privilege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47D9" w14:textId="6BB48F31" w:rsidR="007A2DBD" w:rsidRPr="004D61CF" w:rsidRDefault="007A2DBD" w:rsidP="002425D9">
    <w:pPr>
      <w:pStyle w:val="right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1C68" w14:textId="6D20EC27" w:rsidR="002A52A9" w:rsidRDefault="002A52A9">
    <w:pPr>
      <w:pStyle w:val="Footer"/>
    </w:pPr>
    <w:r>
      <w:rPr>
        <w:noProof/>
      </w:rPr>
      <mc:AlternateContent>
        <mc:Choice Requires="wps">
          <w:drawing>
            <wp:anchor distT="0" distB="0" distL="0" distR="0" simplePos="0" relativeHeight="251662848" behindDoc="0" locked="0" layoutInCell="1" allowOverlap="1" wp14:anchorId="231098B8" wp14:editId="0DAC564E">
              <wp:simplePos x="635" y="635"/>
              <wp:positionH relativeFrom="page">
                <wp:align>center</wp:align>
              </wp:positionH>
              <wp:positionV relativeFrom="page">
                <wp:align>bottom</wp:align>
              </wp:positionV>
              <wp:extent cx="443865" cy="443865"/>
              <wp:effectExtent l="0" t="0" r="0" b="0"/>
              <wp:wrapNone/>
              <wp:docPr id="35" name="Text Box 35" descr="OFFICIAL: Sensitive 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47EF1B" w14:textId="13ACC4DD" w:rsidR="002A52A9" w:rsidRPr="002A52A9" w:rsidRDefault="002A52A9" w:rsidP="002A52A9">
                          <w:pPr>
                            <w:spacing w:after="0"/>
                            <w:rPr>
                              <w:rFonts w:ascii="Calibri" w:eastAsia="Calibri" w:hAnsi="Calibri" w:cs="Calibri"/>
                              <w:noProof/>
                              <w:color w:val="FF0000"/>
                              <w:sz w:val="24"/>
                              <w:szCs w:val="24"/>
                            </w:rPr>
                          </w:pPr>
                          <w:r w:rsidRPr="002A52A9">
                            <w:rPr>
                              <w:rFonts w:ascii="Calibri" w:eastAsia="Calibri" w:hAnsi="Calibri" w:cs="Calibri"/>
                              <w:noProof/>
                              <w:color w:val="FF0000"/>
                              <w:sz w:val="24"/>
                              <w:szCs w:val="24"/>
                            </w:rPr>
                            <w:t>OFFICIAL: Sensitive 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1098B8" id="_x0000_t202" coordsize="21600,21600" o:spt="202" path="m,l,21600r21600,l21600,xe">
              <v:stroke joinstyle="miter"/>
              <v:path gradientshapeok="t" o:connecttype="rect"/>
            </v:shapetype>
            <v:shape id="Text Box 35" o:spid="_x0000_s1035" type="#_x0000_t202" alt="OFFICIAL: Sensitive Legal Privilege"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6547EF1B" w14:textId="13ACC4DD" w:rsidR="002A52A9" w:rsidRPr="002A52A9" w:rsidRDefault="002A52A9" w:rsidP="002A52A9">
                    <w:pPr>
                      <w:spacing w:after="0"/>
                      <w:rPr>
                        <w:rFonts w:ascii="Calibri" w:eastAsia="Calibri" w:hAnsi="Calibri" w:cs="Calibri"/>
                        <w:noProof/>
                        <w:color w:val="FF0000"/>
                        <w:sz w:val="24"/>
                        <w:szCs w:val="24"/>
                      </w:rPr>
                    </w:pPr>
                    <w:r w:rsidRPr="002A52A9">
                      <w:rPr>
                        <w:rFonts w:ascii="Calibri" w:eastAsia="Calibri" w:hAnsi="Calibri" w:cs="Calibri"/>
                        <w:noProof/>
                        <w:color w:val="FF0000"/>
                        <w:sz w:val="24"/>
                        <w:szCs w:val="24"/>
                      </w:rPr>
                      <w:t>OFFICIAL: Sensitive Legal Privilege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6262" w14:textId="705F1EDF" w:rsidR="002A52A9" w:rsidRDefault="002A52A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CA0C" w14:textId="6615CCA1" w:rsidR="007A2DBD" w:rsidRPr="00091474" w:rsidRDefault="002A52A9" w:rsidP="002425D9">
    <w:pPr>
      <w:pStyle w:val="rightfooter"/>
    </w:pPr>
    <w:r>
      <w:rPr>
        <w:noProof/>
      </w:rPr>
      <mc:AlternateContent>
        <mc:Choice Requires="wps">
          <w:drawing>
            <wp:anchor distT="0" distB="0" distL="0" distR="0" simplePos="0" relativeHeight="251661824" behindDoc="0" locked="0" layoutInCell="1" allowOverlap="1" wp14:anchorId="6D5817E6" wp14:editId="3C563B6E">
              <wp:simplePos x="635" y="635"/>
              <wp:positionH relativeFrom="page">
                <wp:align>center</wp:align>
              </wp:positionH>
              <wp:positionV relativeFrom="page">
                <wp:align>bottom</wp:align>
              </wp:positionV>
              <wp:extent cx="443865" cy="443865"/>
              <wp:effectExtent l="0" t="0" r="0" b="0"/>
              <wp:wrapNone/>
              <wp:docPr id="34" name="Text Box 34" descr="OFFICIAL: Sensitive 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D8BF5E" w14:textId="243269EB" w:rsidR="002A52A9" w:rsidRPr="002A52A9" w:rsidRDefault="002A52A9" w:rsidP="002A52A9">
                          <w:pPr>
                            <w:spacing w:after="0"/>
                            <w:rPr>
                              <w:rFonts w:ascii="Calibri" w:eastAsia="Calibri" w:hAnsi="Calibri" w:cs="Calibri"/>
                              <w:noProof/>
                              <w:color w:val="FF0000"/>
                              <w:sz w:val="24"/>
                              <w:szCs w:val="24"/>
                            </w:rPr>
                          </w:pPr>
                          <w:r w:rsidRPr="002A52A9">
                            <w:rPr>
                              <w:rFonts w:ascii="Calibri" w:eastAsia="Calibri" w:hAnsi="Calibri" w:cs="Calibri"/>
                              <w:noProof/>
                              <w:color w:val="FF0000"/>
                              <w:sz w:val="24"/>
                              <w:szCs w:val="24"/>
                            </w:rPr>
                            <w:t>OFFICIAL: Sensitive 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5817E6" id="_x0000_t202" coordsize="21600,21600" o:spt="202" path="m,l,21600r21600,l21600,xe">
              <v:stroke joinstyle="miter"/>
              <v:path gradientshapeok="t" o:connecttype="rect"/>
            </v:shapetype>
            <v:shape id="Text Box 34" o:spid="_x0000_s1037" type="#_x0000_t202" alt="OFFICIAL: Sensitive Legal Privilege" style="position:absolute;left:0;text-align:left;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66D8BF5E" w14:textId="243269EB" w:rsidR="002A52A9" w:rsidRPr="002A52A9" w:rsidRDefault="002A52A9" w:rsidP="002A52A9">
                    <w:pPr>
                      <w:spacing w:after="0"/>
                      <w:rPr>
                        <w:rFonts w:ascii="Calibri" w:eastAsia="Calibri" w:hAnsi="Calibri" w:cs="Calibri"/>
                        <w:noProof/>
                        <w:color w:val="FF0000"/>
                        <w:sz w:val="24"/>
                        <w:szCs w:val="24"/>
                      </w:rPr>
                    </w:pPr>
                    <w:r w:rsidRPr="002A52A9">
                      <w:rPr>
                        <w:rFonts w:ascii="Calibri" w:eastAsia="Calibri" w:hAnsi="Calibri" w:cs="Calibri"/>
                        <w:noProof/>
                        <w:color w:val="FF0000"/>
                        <w:sz w:val="24"/>
                        <w:szCs w:val="24"/>
                      </w:rPr>
                      <w:t>OFFICIAL: Sensitive Legal Privilege</w:t>
                    </w:r>
                  </w:p>
                </w:txbxContent>
              </v:textbox>
              <w10:wrap anchorx="page" anchory="page"/>
            </v:shape>
          </w:pict>
        </mc:Fallback>
      </mc:AlternateContent>
    </w:r>
    <w:r w:rsidR="007A2DBD">
      <w:fldChar w:fldCharType="begin"/>
    </w:r>
    <w:r w:rsidR="007A2DBD">
      <w:instrText xml:space="preserve"> PAGE   \* MERGEFORMAT </w:instrText>
    </w:r>
    <w:r w:rsidR="007A2DBD">
      <w:fldChar w:fldCharType="separate"/>
    </w:r>
    <w:r w:rsidR="007A2DBD">
      <w:rPr>
        <w:noProof/>
      </w:rPr>
      <w:t>1</w:t>
    </w:r>
    <w:r w:rsidR="007A2DB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1D210" w14:textId="77777777" w:rsidR="0066034E" w:rsidRDefault="0066034E">
      <w:pPr>
        <w:spacing w:before="0" w:after="0"/>
      </w:pPr>
      <w:r>
        <w:separator/>
      </w:r>
    </w:p>
  </w:footnote>
  <w:footnote w:type="continuationSeparator" w:id="0">
    <w:p w14:paraId="0E1110C9" w14:textId="77777777" w:rsidR="0066034E" w:rsidRDefault="0066034E">
      <w:pPr>
        <w:spacing w:before="0" w:after="0"/>
      </w:pPr>
      <w:r>
        <w:continuationSeparator/>
      </w:r>
    </w:p>
  </w:footnote>
  <w:footnote w:type="continuationNotice" w:id="1">
    <w:p w14:paraId="67A2A43B" w14:textId="77777777" w:rsidR="0066034E" w:rsidRDefault="0066034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7B9F" w14:textId="5EB09328" w:rsidR="007A2DBD" w:rsidRDefault="002A52A9">
    <w:pPr>
      <w:pStyle w:val="Header"/>
    </w:pPr>
    <w:r>
      <w:rPr>
        <w:noProof/>
      </w:rPr>
      <mc:AlternateContent>
        <mc:Choice Requires="wps">
          <w:drawing>
            <wp:anchor distT="0" distB="0" distL="0" distR="0" simplePos="0" relativeHeight="251652608" behindDoc="0" locked="0" layoutInCell="1" allowOverlap="1" wp14:anchorId="370A4FB5" wp14:editId="15204125">
              <wp:simplePos x="635" y="635"/>
              <wp:positionH relativeFrom="page">
                <wp:align>center</wp:align>
              </wp:positionH>
              <wp:positionV relativeFrom="page">
                <wp:align>top</wp:align>
              </wp:positionV>
              <wp:extent cx="443865" cy="443865"/>
              <wp:effectExtent l="0" t="0" r="0" b="4445"/>
              <wp:wrapNone/>
              <wp:docPr id="6" name="Text Box 6" descr="OFFICIAL: Sensitive 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2BFCA8" w14:textId="5788AAB2" w:rsidR="002A52A9" w:rsidRPr="002A52A9" w:rsidRDefault="002A52A9" w:rsidP="002A52A9">
                          <w:pPr>
                            <w:spacing w:after="0"/>
                            <w:rPr>
                              <w:rFonts w:ascii="Calibri" w:eastAsia="Calibri" w:hAnsi="Calibri" w:cs="Calibri"/>
                              <w:noProof/>
                              <w:color w:val="FF0000"/>
                              <w:sz w:val="24"/>
                              <w:szCs w:val="24"/>
                            </w:rPr>
                          </w:pPr>
                          <w:r w:rsidRPr="002A52A9">
                            <w:rPr>
                              <w:rFonts w:ascii="Calibri" w:eastAsia="Calibri" w:hAnsi="Calibri" w:cs="Calibri"/>
                              <w:noProof/>
                              <w:color w:val="FF0000"/>
                              <w:sz w:val="24"/>
                              <w:szCs w:val="24"/>
                            </w:rPr>
                            <w:t>OFFICIAL: Sensitive 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0A4FB5" id="_x0000_t202" coordsize="21600,21600" o:spt="202" path="m,l,21600r21600,l21600,xe">
              <v:stroke joinstyle="miter"/>
              <v:path gradientshapeok="t" o:connecttype="rect"/>
            </v:shapetype>
            <v:shape id="Text Box 6" o:spid="_x0000_s1026" type="#_x0000_t202" alt="OFFICIAL: Sensitive Legal Privilege" style="position:absolute;margin-left:0;margin-top:0;width:34.95pt;height:34.95pt;z-index:2516526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92BFCA8" w14:textId="5788AAB2" w:rsidR="002A52A9" w:rsidRPr="002A52A9" w:rsidRDefault="002A52A9" w:rsidP="002A52A9">
                    <w:pPr>
                      <w:spacing w:after="0"/>
                      <w:rPr>
                        <w:rFonts w:ascii="Calibri" w:eastAsia="Calibri" w:hAnsi="Calibri" w:cs="Calibri"/>
                        <w:noProof/>
                        <w:color w:val="FF0000"/>
                        <w:sz w:val="24"/>
                        <w:szCs w:val="24"/>
                      </w:rPr>
                    </w:pPr>
                    <w:r w:rsidRPr="002A52A9">
                      <w:rPr>
                        <w:rFonts w:ascii="Calibri" w:eastAsia="Calibri" w:hAnsi="Calibri" w:cs="Calibri"/>
                        <w:noProof/>
                        <w:color w:val="FF0000"/>
                        <w:sz w:val="24"/>
                        <w:szCs w:val="24"/>
                      </w:rPr>
                      <w:t>OFFICIAL: Sensitive Legal 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138E" w14:textId="68B93086" w:rsidR="007A2DBD" w:rsidRDefault="002A52A9">
    <w:pPr>
      <w:pStyle w:val="Header"/>
    </w:pPr>
    <w:r>
      <w:rPr>
        <w:noProof/>
      </w:rPr>
      <mc:AlternateContent>
        <mc:Choice Requires="wps">
          <w:drawing>
            <wp:anchor distT="0" distB="0" distL="0" distR="0" simplePos="0" relativeHeight="251651584" behindDoc="0" locked="0" layoutInCell="1" allowOverlap="1" wp14:anchorId="23876677" wp14:editId="5145A959">
              <wp:simplePos x="720725" y="450850"/>
              <wp:positionH relativeFrom="page">
                <wp:align>center</wp:align>
              </wp:positionH>
              <wp:positionV relativeFrom="page">
                <wp:align>top</wp:align>
              </wp:positionV>
              <wp:extent cx="443865" cy="443865"/>
              <wp:effectExtent l="0" t="0" r="0" b="4445"/>
              <wp:wrapNone/>
              <wp:docPr id="4" name="Text Box 4" descr="OFFICIAL: Sensitive 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E231B1" w14:textId="7B58CC93" w:rsidR="002A52A9" w:rsidRPr="002A52A9" w:rsidRDefault="002A52A9" w:rsidP="002A52A9">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876677" id="_x0000_t202" coordsize="21600,21600" o:spt="202" path="m,l,21600r21600,l21600,xe">
              <v:stroke joinstyle="miter"/>
              <v:path gradientshapeok="t" o:connecttype="rect"/>
            </v:shapetype>
            <v:shape id="Text Box 4" o:spid="_x0000_s1029" type="#_x0000_t202" alt="OFFICIAL: Sensitive Legal Privilege" style="position:absolute;margin-left:0;margin-top:0;width:34.95pt;height:34.95pt;z-index:2516515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AE231B1" w14:textId="7B58CC93" w:rsidR="002A52A9" w:rsidRPr="002A52A9" w:rsidRDefault="002A52A9" w:rsidP="002A52A9">
                    <w:pPr>
                      <w:spacing w:after="0"/>
                      <w:rPr>
                        <w:rFonts w:ascii="Calibri" w:eastAsia="Calibri" w:hAnsi="Calibri" w:cs="Calibri"/>
                        <w:noProof/>
                        <w:color w:val="FF0000"/>
                        <w:sz w:val="24"/>
                        <w:szCs w:val="24"/>
                      </w:rPr>
                    </w:pPr>
                  </w:p>
                </w:txbxContent>
              </v:textbox>
              <w10:wrap anchorx="page" anchory="page"/>
            </v:shape>
          </w:pict>
        </mc:Fallback>
      </mc:AlternateContent>
    </w:r>
  </w:p>
  <w:sdt>
    <w:sdtPr>
      <w:id w:val="-2071182601"/>
      <w:docPartObj>
        <w:docPartGallery w:val="Watermarks"/>
      </w:docPartObj>
    </w:sdtPr>
    <w:sdtEndPr/>
    <w:sdtContent>
      <w:p w14:paraId="6C7D5A1B" w14:textId="77777777" w:rsidR="007A2DBD" w:rsidRDefault="001E02E2">
        <w:pPr>
          <w:pStyle w:val="Header"/>
        </w:pPr>
        <w:r>
          <w:rPr>
            <w:noProof/>
          </w:rPr>
          <w:pict w14:anchorId="42B099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margin-left:0;margin-top:0;width:412.4pt;height:247.45pt;rotation:315;z-index:-251652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F48EC" w14:textId="1CCB49D4" w:rsidR="007A2DBD" w:rsidRPr="009106AC" w:rsidRDefault="002A52A9" w:rsidP="002425D9">
    <w:pPr>
      <w:pStyle w:val="Header"/>
    </w:pPr>
    <w:r>
      <w:rPr>
        <w:noProof/>
      </w:rPr>
      <mc:AlternateContent>
        <mc:Choice Requires="wps">
          <w:drawing>
            <wp:anchor distT="0" distB="0" distL="0" distR="0" simplePos="0" relativeHeight="251653632" behindDoc="0" locked="0" layoutInCell="1" allowOverlap="1" wp14:anchorId="3DDC1060" wp14:editId="013EBDF9">
              <wp:simplePos x="635" y="635"/>
              <wp:positionH relativeFrom="page">
                <wp:align>center</wp:align>
              </wp:positionH>
              <wp:positionV relativeFrom="page">
                <wp:align>top</wp:align>
              </wp:positionV>
              <wp:extent cx="443865" cy="443865"/>
              <wp:effectExtent l="0" t="0" r="0" b="4445"/>
              <wp:wrapNone/>
              <wp:docPr id="8" name="Text Box 8" descr="OFFICIAL: Sensitive 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7C9228" w14:textId="68FFF58D" w:rsidR="002A52A9" w:rsidRPr="002A52A9" w:rsidRDefault="002A52A9" w:rsidP="002A52A9">
                          <w:pPr>
                            <w:spacing w:after="0"/>
                            <w:rPr>
                              <w:rFonts w:ascii="Calibri" w:eastAsia="Calibri" w:hAnsi="Calibri" w:cs="Calibri"/>
                              <w:noProof/>
                              <w:color w:val="FF0000"/>
                              <w:sz w:val="24"/>
                              <w:szCs w:val="24"/>
                            </w:rPr>
                          </w:pPr>
                          <w:r w:rsidRPr="002A52A9">
                            <w:rPr>
                              <w:rFonts w:ascii="Calibri" w:eastAsia="Calibri" w:hAnsi="Calibri" w:cs="Calibri"/>
                              <w:noProof/>
                              <w:color w:val="FF0000"/>
                              <w:sz w:val="24"/>
                              <w:szCs w:val="24"/>
                            </w:rPr>
                            <w:t>OFFICIAL: Sensitive 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DC1060" id="_x0000_t202" coordsize="21600,21600" o:spt="202" path="m,l,21600r21600,l21600,xe">
              <v:stroke joinstyle="miter"/>
              <v:path gradientshapeok="t" o:connecttype="rect"/>
            </v:shapetype>
            <v:shape id="Text Box 8" o:spid="_x0000_s1031" type="#_x0000_t202" alt="OFFICIAL: Sensitive Legal Privilege" style="position:absolute;margin-left:0;margin-top:0;width:34.95pt;height:34.95pt;z-index:2516536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7F7C9228" w14:textId="68FFF58D" w:rsidR="002A52A9" w:rsidRPr="002A52A9" w:rsidRDefault="002A52A9" w:rsidP="002A52A9">
                    <w:pPr>
                      <w:spacing w:after="0"/>
                      <w:rPr>
                        <w:rFonts w:ascii="Calibri" w:eastAsia="Calibri" w:hAnsi="Calibri" w:cs="Calibri"/>
                        <w:noProof/>
                        <w:color w:val="FF0000"/>
                        <w:sz w:val="24"/>
                        <w:szCs w:val="24"/>
                      </w:rPr>
                    </w:pPr>
                    <w:r w:rsidRPr="002A52A9">
                      <w:rPr>
                        <w:rFonts w:ascii="Calibri" w:eastAsia="Calibri" w:hAnsi="Calibri" w:cs="Calibri"/>
                        <w:noProof/>
                        <w:color w:val="FF0000"/>
                        <w:sz w:val="24"/>
                        <w:szCs w:val="24"/>
                      </w:rPr>
                      <w:t>OFFICIAL: Sensitive Legal Privilege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4534" w14:textId="5FE5272D" w:rsidR="007A2DBD" w:rsidRPr="0070093E" w:rsidRDefault="002A52A9" w:rsidP="002425D9">
    <w:pPr>
      <w:pStyle w:val="rightheader"/>
      <w:ind w:firstLine="720"/>
      <w:rPr>
        <w:lang w:val="en-US"/>
      </w:rPr>
    </w:pPr>
    <w:r>
      <w:rPr>
        <w:noProof/>
        <w:lang w:val="en-US"/>
      </w:rPr>
      <mc:AlternateContent>
        <mc:Choice Requires="wps">
          <w:drawing>
            <wp:anchor distT="0" distB="0" distL="0" distR="0" simplePos="0" relativeHeight="251654656" behindDoc="0" locked="0" layoutInCell="1" allowOverlap="1" wp14:anchorId="7DF6B007" wp14:editId="060B388A">
              <wp:simplePos x="635" y="635"/>
              <wp:positionH relativeFrom="page">
                <wp:align>center</wp:align>
              </wp:positionH>
              <wp:positionV relativeFrom="page">
                <wp:align>top</wp:align>
              </wp:positionV>
              <wp:extent cx="443865" cy="443865"/>
              <wp:effectExtent l="0" t="0" r="0" b="4445"/>
              <wp:wrapNone/>
              <wp:docPr id="9" name="Text Box 9" descr="OFFICIAL: Sensitive 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314396" w14:textId="47FABD3D" w:rsidR="002A52A9" w:rsidRPr="002A52A9" w:rsidRDefault="002A52A9" w:rsidP="002A52A9">
                          <w:pPr>
                            <w:spacing w:after="0"/>
                            <w:rPr>
                              <w:rFonts w:ascii="Calibri" w:eastAsia="Calibri" w:hAnsi="Calibri" w:cs="Calibri"/>
                              <w:noProof/>
                              <w:color w:val="FF0000"/>
                              <w:sz w:val="24"/>
                              <w:szCs w:val="24"/>
                            </w:rPr>
                          </w:pPr>
                          <w:r w:rsidRPr="002A52A9">
                            <w:rPr>
                              <w:rFonts w:ascii="Calibri" w:eastAsia="Calibri" w:hAnsi="Calibri" w:cs="Calibri"/>
                              <w:noProof/>
                              <w:color w:val="FF0000"/>
                              <w:sz w:val="24"/>
                              <w:szCs w:val="24"/>
                            </w:rPr>
                            <w:t>OFFICIAL: Sensitive 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F6B007" id="_x0000_t202" coordsize="21600,21600" o:spt="202" path="m,l,21600r21600,l21600,xe">
              <v:stroke joinstyle="miter"/>
              <v:path gradientshapeok="t" o:connecttype="rect"/>
            </v:shapetype>
            <v:shape id="Text Box 9" o:spid="_x0000_s1032" type="#_x0000_t202" alt="OFFICIAL: Sensitive Legal Privilege" style="position:absolute;left:0;text-align:left;margin-left:0;margin-top:0;width:34.95pt;height:34.9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47314396" w14:textId="47FABD3D" w:rsidR="002A52A9" w:rsidRPr="002A52A9" w:rsidRDefault="002A52A9" w:rsidP="002A52A9">
                    <w:pPr>
                      <w:spacing w:after="0"/>
                      <w:rPr>
                        <w:rFonts w:ascii="Calibri" w:eastAsia="Calibri" w:hAnsi="Calibri" w:cs="Calibri"/>
                        <w:noProof/>
                        <w:color w:val="FF0000"/>
                        <w:sz w:val="24"/>
                        <w:szCs w:val="24"/>
                      </w:rPr>
                    </w:pPr>
                    <w:r w:rsidRPr="002A52A9">
                      <w:rPr>
                        <w:rFonts w:ascii="Calibri" w:eastAsia="Calibri" w:hAnsi="Calibri" w:cs="Calibri"/>
                        <w:noProof/>
                        <w:color w:val="FF0000"/>
                        <w:sz w:val="24"/>
                        <w:szCs w:val="24"/>
                      </w:rPr>
                      <w:t>OFFICIAL: Sensitive Legal Privilege</w:t>
                    </w:r>
                  </w:p>
                </w:txbxContent>
              </v:textbox>
              <w10:wrap anchorx="page" anchory="page"/>
            </v:shape>
          </w:pict>
        </mc:Fallback>
      </mc:AlternateContent>
    </w:r>
    <w:r w:rsidR="007A2DBD">
      <w:rPr>
        <w:lang w:val="en-US"/>
      </w:rPr>
      <w:t>(</w:t>
    </w:r>
    <w:r w:rsidR="007A2DBD">
      <w:rPr>
        <w:lang w:val="en-US"/>
      </w:rPr>
      <w:fldChar w:fldCharType="begin"/>
    </w:r>
    <w:r w:rsidR="007A2DBD">
      <w:rPr>
        <w:lang w:val="en-US"/>
      </w:rPr>
      <w:instrText xml:space="preserve"> STYLEREF  ChapterNameOnly  \* MERGEFORMAT </w:instrText>
    </w:r>
    <w:r w:rsidR="007A2DBD">
      <w:rPr>
        <w:lang w:val="en-US"/>
      </w:rPr>
      <w:fldChar w:fldCharType="separate"/>
    </w:r>
    <w:r w:rsidR="003F492E">
      <w:rPr>
        <w:b/>
        <w:bCs/>
        <w:noProof/>
        <w:lang w:val="en-US"/>
      </w:rPr>
      <w:t>Error! Use the Home tab to apply ChapterNameOnly to the text that you want to appear here.</w:t>
    </w:r>
    <w:r w:rsidR="007A2DBD">
      <w:rPr>
        <w:lang w:val="en-U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50FE" w14:textId="1F1D65B1" w:rsidR="007A2DBD" w:rsidRDefault="007A2D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93EA" w14:textId="6DC748AC" w:rsidR="007A2DBD" w:rsidRPr="00ED5401" w:rsidRDefault="00AB76EA" w:rsidP="00ED5401">
    <w:pPr>
      <w:pStyle w:val="leftheader"/>
    </w:pPr>
    <w:fldSimple w:instr=" STYLEREF &quot;Chapter heading&quot; \* MERGEFORMAT ">
      <w:r w:rsidR="001E02E2">
        <w:rPr>
          <w:noProof/>
        </w:rPr>
        <w:t>Denying deductions for ATO interest charges</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4846" w14:textId="3A233A09" w:rsidR="007A2DBD" w:rsidRPr="00ED3956" w:rsidRDefault="00ED3956" w:rsidP="00ED3956">
    <w:pPr>
      <w:pStyle w:val="rightheader"/>
    </w:pPr>
    <w:r w:rsidRPr="00ED3956">
      <w:rPr>
        <w:noProof/>
      </w:rPr>
      <w:fldChar w:fldCharType="begin"/>
    </w:r>
    <w:r w:rsidRPr="00ED3956">
      <w:rPr>
        <w:noProof/>
      </w:rPr>
      <w:instrText xml:space="preserve"> STYLEREF "Bill Name" \* MERGEFORMAT </w:instrText>
    </w:r>
    <w:r w:rsidRPr="00ED3956">
      <w:rPr>
        <w:noProof/>
      </w:rPr>
      <w:fldChar w:fldCharType="separate"/>
    </w:r>
    <w:r w:rsidR="001E02E2">
      <w:rPr>
        <w:noProof/>
      </w:rPr>
      <w:t>TREASURY LAWS AMENDMENT BILL 2024: DENYING DEDUCTIONS FOR INTEREST CHARGES</w:t>
    </w:r>
    <w:r w:rsidRPr="00ED3956">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D9B5" w14:textId="3BCE3074" w:rsidR="007A2DBD" w:rsidRDefault="002A52A9">
    <w:pPr>
      <w:pStyle w:val="Header"/>
    </w:pPr>
    <w:r>
      <w:rPr>
        <w:noProof/>
      </w:rPr>
      <mc:AlternateContent>
        <mc:Choice Requires="wps">
          <w:drawing>
            <wp:anchor distT="0" distB="0" distL="0" distR="0" simplePos="0" relativeHeight="251655680" behindDoc="0" locked="0" layoutInCell="1" allowOverlap="1" wp14:anchorId="7025AB14" wp14:editId="16FA531C">
              <wp:simplePos x="635" y="635"/>
              <wp:positionH relativeFrom="page">
                <wp:align>center</wp:align>
              </wp:positionH>
              <wp:positionV relativeFrom="page">
                <wp:align>top</wp:align>
              </wp:positionV>
              <wp:extent cx="443865" cy="443865"/>
              <wp:effectExtent l="0" t="0" r="0" b="4445"/>
              <wp:wrapNone/>
              <wp:docPr id="10" name="Text Box 10" descr="OFFICIAL: Sensitive 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98ACE3" w14:textId="692D4ED6" w:rsidR="002A52A9" w:rsidRPr="002A52A9" w:rsidRDefault="002A52A9" w:rsidP="002A52A9">
                          <w:pPr>
                            <w:spacing w:after="0"/>
                            <w:rPr>
                              <w:rFonts w:ascii="Calibri" w:eastAsia="Calibri" w:hAnsi="Calibri" w:cs="Calibri"/>
                              <w:noProof/>
                              <w:color w:val="FF0000"/>
                              <w:sz w:val="24"/>
                              <w:szCs w:val="24"/>
                            </w:rPr>
                          </w:pPr>
                          <w:r w:rsidRPr="002A52A9">
                            <w:rPr>
                              <w:rFonts w:ascii="Calibri" w:eastAsia="Calibri" w:hAnsi="Calibri" w:cs="Calibri"/>
                              <w:noProof/>
                              <w:color w:val="FF0000"/>
                              <w:sz w:val="24"/>
                              <w:szCs w:val="24"/>
                            </w:rPr>
                            <w:t>OFFICIAL: Sensitive 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25AB14" id="_x0000_t202" coordsize="21600,21600" o:spt="202" path="m,l,21600r21600,l21600,xe">
              <v:stroke joinstyle="miter"/>
              <v:path gradientshapeok="t" o:connecttype="rect"/>
            </v:shapetype>
            <v:shape id="Text Box 10" o:spid="_x0000_s1036" type="#_x0000_t202" alt="OFFICIAL: Sensitive Legal Privilege"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5198ACE3" w14:textId="692D4ED6" w:rsidR="002A52A9" w:rsidRPr="002A52A9" w:rsidRDefault="002A52A9" w:rsidP="002A52A9">
                    <w:pPr>
                      <w:spacing w:after="0"/>
                      <w:rPr>
                        <w:rFonts w:ascii="Calibri" w:eastAsia="Calibri" w:hAnsi="Calibri" w:cs="Calibri"/>
                        <w:noProof/>
                        <w:color w:val="FF0000"/>
                        <w:sz w:val="24"/>
                        <w:szCs w:val="24"/>
                      </w:rPr>
                    </w:pPr>
                    <w:r w:rsidRPr="002A52A9">
                      <w:rPr>
                        <w:rFonts w:ascii="Calibri" w:eastAsia="Calibri" w:hAnsi="Calibri" w:cs="Calibri"/>
                        <w:noProof/>
                        <w:color w:val="FF0000"/>
                        <w:sz w:val="24"/>
                        <w:szCs w:val="24"/>
                      </w:rPr>
                      <w:t>OFFICIAL: Sensitive Legal Privilege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A91F2" w14:textId="055CD98D" w:rsidR="00ED3956" w:rsidRDefault="00ED39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29170CA0"/>
    <w:multiLevelType w:val="multilevel"/>
    <w:tmpl w:val="049421C8"/>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5D2CC9"/>
    <w:multiLevelType w:val="multilevel"/>
    <w:tmpl w:val="EB40A840"/>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7"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9"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6599739">
    <w:abstractNumId w:val="0"/>
  </w:num>
  <w:num w:numId="2" w16cid:durableId="1948731128">
    <w:abstractNumId w:val="11"/>
  </w:num>
  <w:num w:numId="3" w16cid:durableId="1829707682">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822813120">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1281185342">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16cid:durableId="834690233">
    <w:abstractNumId w:val="3"/>
  </w:num>
  <w:num w:numId="7" w16cid:durableId="1022901957">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16cid:durableId="1142381951">
    <w:abstractNumId w:val="4"/>
  </w:num>
  <w:num w:numId="9" w16cid:durableId="911041120">
    <w:abstractNumId w:val="13"/>
  </w:num>
  <w:num w:numId="10" w16cid:durableId="2017876939">
    <w:abstractNumId w:val="7"/>
  </w:num>
  <w:num w:numId="11" w16cid:durableId="679544403">
    <w:abstractNumId w:val="6"/>
  </w:num>
  <w:num w:numId="12" w16cid:durableId="974681568">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422262118">
    <w:abstractNumId w:val="11"/>
  </w:num>
  <w:num w:numId="14" w16cid:durableId="1648515472">
    <w:abstractNumId w:val="9"/>
  </w:num>
  <w:num w:numId="15" w16cid:durableId="407070147">
    <w:abstractNumId w:val="10"/>
  </w:num>
  <w:num w:numId="16" w16cid:durableId="1102265301">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1005204720">
    <w:abstractNumId w:val="4"/>
  </w:num>
  <w:num w:numId="18" w16cid:durableId="680205999">
    <w:abstractNumId w:val="2"/>
  </w:num>
  <w:num w:numId="19" w16cid:durableId="1491290959">
    <w:abstractNumId w:val="8"/>
  </w:num>
  <w:num w:numId="20" w16cid:durableId="1101536722">
    <w:abstractNumId w:val="12"/>
  </w:num>
  <w:num w:numId="21" w16cid:durableId="1399742980">
    <w:abstractNumId w:val="11"/>
  </w:num>
  <w:num w:numId="22" w16cid:durableId="397169042">
    <w:abstractNumId w:val="1"/>
  </w:num>
  <w:num w:numId="23" w16cid:durableId="7858568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2A9"/>
    <w:rsid w:val="00000BFC"/>
    <w:rsid w:val="00001053"/>
    <w:rsid w:val="0001024E"/>
    <w:rsid w:val="000135DF"/>
    <w:rsid w:val="00017B8A"/>
    <w:rsid w:val="00021DAA"/>
    <w:rsid w:val="00025CE8"/>
    <w:rsid w:val="00035AEC"/>
    <w:rsid w:val="00040058"/>
    <w:rsid w:val="0004123F"/>
    <w:rsid w:val="00041348"/>
    <w:rsid w:val="000415C6"/>
    <w:rsid w:val="0004200D"/>
    <w:rsid w:val="00043512"/>
    <w:rsid w:val="00043E8E"/>
    <w:rsid w:val="00047FF2"/>
    <w:rsid w:val="00077EA1"/>
    <w:rsid w:val="00087F47"/>
    <w:rsid w:val="00087FE9"/>
    <w:rsid w:val="00090A2C"/>
    <w:rsid w:val="000A3230"/>
    <w:rsid w:val="000A4EB2"/>
    <w:rsid w:val="000B6B3E"/>
    <w:rsid w:val="000B7D6E"/>
    <w:rsid w:val="000D4CC3"/>
    <w:rsid w:val="000E479C"/>
    <w:rsid w:val="000E4D39"/>
    <w:rsid w:val="000E521B"/>
    <w:rsid w:val="00100C3F"/>
    <w:rsid w:val="00105E85"/>
    <w:rsid w:val="001064C7"/>
    <w:rsid w:val="00106FDC"/>
    <w:rsid w:val="001104EF"/>
    <w:rsid w:val="00115509"/>
    <w:rsid w:val="001227A2"/>
    <w:rsid w:val="00141701"/>
    <w:rsid w:val="00152D18"/>
    <w:rsid w:val="00154575"/>
    <w:rsid w:val="00157FCF"/>
    <w:rsid w:val="001605A0"/>
    <w:rsid w:val="00163457"/>
    <w:rsid w:val="00163CAB"/>
    <w:rsid w:val="0016711D"/>
    <w:rsid w:val="00170C78"/>
    <w:rsid w:val="001741A2"/>
    <w:rsid w:val="00174564"/>
    <w:rsid w:val="0018055F"/>
    <w:rsid w:val="0018276B"/>
    <w:rsid w:val="00183135"/>
    <w:rsid w:val="001941CF"/>
    <w:rsid w:val="00195D1C"/>
    <w:rsid w:val="001B07FA"/>
    <w:rsid w:val="001B1306"/>
    <w:rsid w:val="001B590F"/>
    <w:rsid w:val="001C5CBF"/>
    <w:rsid w:val="001D34B8"/>
    <w:rsid w:val="001E01BF"/>
    <w:rsid w:val="001E02E2"/>
    <w:rsid w:val="001F670B"/>
    <w:rsid w:val="001F7515"/>
    <w:rsid w:val="00225C83"/>
    <w:rsid w:val="00230C17"/>
    <w:rsid w:val="0023409D"/>
    <w:rsid w:val="002425D9"/>
    <w:rsid w:val="00242B2A"/>
    <w:rsid w:val="0024356E"/>
    <w:rsid w:val="002439EA"/>
    <w:rsid w:val="0024784F"/>
    <w:rsid w:val="00250844"/>
    <w:rsid w:val="00260B8B"/>
    <w:rsid w:val="0027000D"/>
    <w:rsid w:val="002704BC"/>
    <w:rsid w:val="0027322A"/>
    <w:rsid w:val="0027387B"/>
    <w:rsid w:val="00274D5C"/>
    <w:rsid w:val="00276753"/>
    <w:rsid w:val="00280FA9"/>
    <w:rsid w:val="00281A8C"/>
    <w:rsid w:val="00281E20"/>
    <w:rsid w:val="00286F9A"/>
    <w:rsid w:val="002872AB"/>
    <w:rsid w:val="00291AAD"/>
    <w:rsid w:val="00292C98"/>
    <w:rsid w:val="002935AC"/>
    <w:rsid w:val="00297081"/>
    <w:rsid w:val="002A129B"/>
    <w:rsid w:val="002A1AED"/>
    <w:rsid w:val="002A2137"/>
    <w:rsid w:val="002A3A5B"/>
    <w:rsid w:val="002A52A9"/>
    <w:rsid w:val="002A52E5"/>
    <w:rsid w:val="002A5CB1"/>
    <w:rsid w:val="002B0B67"/>
    <w:rsid w:val="002B13DC"/>
    <w:rsid w:val="002B1D9E"/>
    <w:rsid w:val="002B5DED"/>
    <w:rsid w:val="002B623C"/>
    <w:rsid w:val="002B6F60"/>
    <w:rsid w:val="002C3B85"/>
    <w:rsid w:val="002C57B2"/>
    <w:rsid w:val="002C78D6"/>
    <w:rsid w:val="002D080A"/>
    <w:rsid w:val="002E4F2B"/>
    <w:rsid w:val="002E78A8"/>
    <w:rsid w:val="002F1CB0"/>
    <w:rsid w:val="002F4B60"/>
    <w:rsid w:val="002F5302"/>
    <w:rsid w:val="003119FC"/>
    <w:rsid w:val="003137FA"/>
    <w:rsid w:val="00314858"/>
    <w:rsid w:val="00315D81"/>
    <w:rsid w:val="00334715"/>
    <w:rsid w:val="003459DF"/>
    <w:rsid w:val="00350207"/>
    <w:rsid w:val="00350AC0"/>
    <w:rsid w:val="003510A8"/>
    <w:rsid w:val="00351274"/>
    <w:rsid w:val="00351D4D"/>
    <w:rsid w:val="0035527B"/>
    <w:rsid w:val="003556BF"/>
    <w:rsid w:val="00355C9A"/>
    <w:rsid w:val="0036790F"/>
    <w:rsid w:val="00371BFB"/>
    <w:rsid w:val="00375104"/>
    <w:rsid w:val="00376F12"/>
    <w:rsid w:val="00381181"/>
    <w:rsid w:val="00387402"/>
    <w:rsid w:val="0039391C"/>
    <w:rsid w:val="003971ED"/>
    <w:rsid w:val="003A0372"/>
    <w:rsid w:val="003B06D8"/>
    <w:rsid w:val="003B688A"/>
    <w:rsid w:val="003E6AF5"/>
    <w:rsid w:val="003E6E94"/>
    <w:rsid w:val="003F1AD7"/>
    <w:rsid w:val="003F267C"/>
    <w:rsid w:val="003F492E"/>
    <w:rsid w:val="004127BE"/>
    <w:rsid w:val="00414017"/>
    <w:rsid w:val="00414EC2"/>
    <w:rsid w:val="00415EB4"/>
    <w:rsid w:val="00427EDF"/>
    <w:rsid w:val="00430A32"/>
    <w:rsid w:val="00430DA4"/>
    <w:rsid w:val="004316FE"/>
    <w:rsid w:val="004411F1"/>
    <w:rsid w:val="00442A0E"/>
    <w:rsid w:val="00444751"/>
    <w:rsid w:val="004510B6"/>
    <w:rsid w:val="004547F3"/>
    <w:rsid w:val="004603EF"/>
    <w:rsid w:val="0047593B"/>
    <w:rsid w:val="00477C04"/>
    <w:rsid w:val="00485FD0"/>
    <w:rsid w:val="0048704B"/>
    <w:rsid w:val="00492729"/>
    <w:rsid w:val="00496642"/>
    <w:rsid w:val="00496C21"/>
    <w:rsid w:val="004971E2"/>
    <w:rsid w:val="004B1C70"/>
    <w:rsid w:val="004B1F33"/>
    <w:rsid w:val="004C1A62"/>
    <w:rsid w:val="004C6994"/>
    <w:rsid w:val="004D2825"/>
    <w:rsid w:val="004D5FC0"/>
    <w:rsid w:val="004D717B"/>
    <w:rsid w:val="004E225E"/>
    <w:rsid w:val="004F23C3"/>
    <w:rsid w:val="004F4D61"/>
    <w:rsid w:val="004F7C15"/>
    <w:rsid w:val="0050431A"/>
    <w:rsid w:val="00505347"/>
    <w:rsid w:val="005054D4"/>
    <w:rsid w:val="005066F5"/>
    <w:rsid w:val="00517D6E"/>
    <w:rsid w:val="005206B5"/>
    <w:rsid w:val="00521290"/>
    <w:rsid w:val="0052187C"/>
    <w:rsid w:val="00531C67"/>
    <w:rsid w:val="005356CB"/>
    <w:rsid w:val="00542299"/>
    <w:rsid w:val="005461CF"/>
    <w:rsid w:val="005470ED"/>
    <w:rsid w:val="005510A1"/>
    <w:rsid w:val="005515C0"/>
    <w:rsid w:val="00556678"/>
    <w:rsid w:val="00557058"/>
    <w:rsid w:val="0055762A"/>
    <w:rsid w:val="0056675C"/>
    <w:rsid w:val="0057163B"/>
    <w:rsid w:val="0057665A"/>
    <w:rsid w:val="00591DB2"/>
    <w:rsid w:val="0059200B"/>
    <w:rsid w:val="005A12E0"/>
    <w:rsid w:val="005A2715"/>
    <w:rsid w:val="005A2A0E"/>
    <w:rsid w:val="005A3AA3"/>
    <w:rsid w:val="005A5105"/>
    <w:rsid w:val="005C0C5C"/>
    <w:rsid w:val="005C2BD1"/>
    <w:rsid w:val="005D0844"/>
    <w:rsid w:val="005D169F"/>
    <w:rsid w:val="005D1BEC"/>
    <w:rsid w:val="005D4502"/>
    <w:rsid w:val="005D5F12"/>
    <w:rsid w:val="005E1542"/>
    <w:rsid w:val="005F3DD0"/>
    <w:rsid w:val="005F7091"/>
    <w:rsid w:val="005F7547"/>
    <w:rsid w:val="006042C2"/>
    <w:rsid w:val="00622763"/>
    <w:rsid w:val="006235C8"/>
    <w:rsid w:val="00624905"/>
    <w:rsid w:val="00630725"/>
    <w:rsid w:val="00642420"/>
    <w:rsid w:val="0064356D"/>
    <w:rsid w:val="006479AC"/>
    <w:rsid w:val="0066034E"/>
    <w:rsid w:val="00667797"/>
    <w:rsid w:val="00677955"/>
    <w:rsid w:val="00683847"/>
    <w:rsid w:val="00683912"/>
    <w:rsid w:val="0069648E"/>
    <w:rsid w:val="006A2BC6"/>
    <w:rsid w:val="006A3BE3"/>
    <w:rsid w:val="006C192F"/>
    <w:rsid w:val="006C3DFB"/>
    <w:rsid w:val="006C40A4"/>
    <w:rsid w:val="006C67F6"/>
    <w:rsid w:val="006D1EE6"/>
    <w:rsid w:val="006D57F3"/>
    <w:rsid w:val="006E0237"/>
    <w:rsid w:val="006E699E"/>
    <w:rsid w:val="006F1E89"/>
    <w:rsid w:val="006F7DFA"/>
    <w:rsid w:val="00700874"/>
    <w:rsid w:val="00705C63"/>
    <w:rsid w:val="0071361B"/>
    <w:rsid w:val="007145E8"/>
    <w:rsid w:val="007316F6"/>
    <w:rsid w:val="00731BE4"/>
    <w:rsid w:val="0073326A"/>
    <w:rsid w:val="00734238"/>
    <w:rsid w:val="0073595A"/>
    <w:rsid w:val="007426A8"/>
    <w:rsid w:val="00747989"/>
    <w:rsid w:val="007479A1"/>
    <w:rsid w:val="00750838"/>
    <w:rsid w:val="00752137"/>
    <w:rsid w:val="00752190"/>
    <w:rsid w:val="0076219E"/>
    <w:rsid w:val="00763484"/>
    <w:rsid w:val="007644C2"/>
    <w:rsid w:val="00766AE2"/>
    <w:rsid w:val="00766B37"/>
    <w:rsid w:val="00777A92"/>
    <w:rsid w:val="0078384A"/>
    <w:rsid w:val="007850A3"/>
    <w:rsid w:val="007A2DBD"/>
    <w:rsid w:val="007B023E"/>
    <w:rsid w:val="007B1509"/>
    <w:rsid w:val="007B4AEC"/>
    <w:rsid w:val="007B6304"/>
    <w:rsid w:val="007C1F94"/>
    <w:rsid w:val="007C6371"/>
    <w:rsid w:val="007D0737"/>
    <w:rsid w:val="007E0D29"/>
    <w:rsid w:val="007E1ED8"/>
    <w:rsid w:val="007E3384"/>
    <w:rsid w:val="007E62B0"/>
    <w:rsid w:val="007F1E14"/>
    <w:rsid w:val="007F3B53"/>
    <w:rsid w:val="007F730F"/>
    <w:rsid w:val="00806DC6"/>
    <w:rsid w:val="008111C7"/>
    <w:rsid w:val="008132B7"/>
    <w:rsid w:val="0082089A"/>
    <w:rsid w:val="00821428"/>
    <w:rsid w:val="0082284C"/>
    <w:rsid w:val="008404F3"/>
    <w:rsid w:val="00840882"/>
    <w:rsid w:val="008456C1"/>
    <w:rsid w:val="00847671"/>
    <w:rsid w:val="00856997"/>
    <w:rsid w:val="00863157"/>
    <w:rsid w:val="00870071"/>
    <w:rsid w:val="00873094"/>
    <w:rsid w:val="00883A1C"/>
    <w:rsid w:val="00886A8D"/>
    <w:rsid w:val="00890424"/>
    <w:rsid w:val="00893702"/>
    <w:rsid w:val="00897509"/>
    <w:rsid w:val="008A3663"/>
    <w:rsid w:val="008A3B5F"/>
    <w:rsid w:val="008A4656"/>
    <w:rsid w:val="008A5A27"/>
    <w:rsid w:val="008C2D5A"/>
    <w:rsid w:val="008C3CA3"/>
    <w:rsid w:val="008C5717"/>
    <w:rsid w:val="008C772A"/>
    <w:rsid w:val="008D02F2"/>
    <w:rsid w:val="008D1288"/>
    <w:rsid w:val="008D33CE"/>
    <w:rsid w:val="008E04B3"/>
    <w:rsid w:val="008E3DC9"/>
    <w:rsid w:val="0090171F"/>
    <w:rsid w:val="00907EB9"/>
    <w:rsid w:val="00924E28"/>
    <w:rsid w:val="00924E84"/>
    <w:rsid w:val="009275EE"/>
    <w:rsid w:val="0094140D"/>
    <w:rsid w:val="0094146B"/>
    <w:rsid w:val="00943861"/>
    <w:rsid w:val="0094591F"/>
    <w:rsid w:val="00945DEC"/>
    <w:rsid w:val="00966650"/>
    <w:rsid w:val="009673E0"/>
    <w:rsid w:val="009732E4"/>
    <w:rsid w:val="009747C3"/>
    <w:rsid w:val="0099381D"/>
    <w:rsid w:val="00995B72"/>
    <w:rsid w:val="009A1994"/>
    <w:rsid w:val="009A5A85"/>
    <w:rsid w:val="009B62B5"/>
    <w:rsid w:val="009C0BC8"/>
    <w:rsid w:val="009D095E"/>
    <w:rsid w:val="009D279D"/>
    <w:rsid w:val="009D667E"/>
    <w:rsid w:val="009E5651"/>
    <w:rsid w:val="009E5896"/>
    <w:rsid w:val="009F3FA5"/>
    <w:rsid w:val="009F5D38"/>
    <w:rsid w:val="00A00405"/>
    <w:rsid w:val="00A04BF2"/>
    <w:rsid w:val="00A057CF"/>
    <w:rsid w:val="00A05FA0"/>
    <w:rsid w:val="00A07C8D"/>
    <w:rsid w:val="00A07E3B"/>
    <w:rsid w:val="00A12BAA"/>
    <w:rsid w:val="00A13BEA"/>
    <w:rsid w:val="00A14B48"/>
    <w:rsid w:val="00A26C75"/>
    <w:rsid w:val="00A32475"/>
    <w:rsid w:val="00A3693E"/>
    <w:rsid w:val="00A444AF"/>
    <w:rsid w:val="00A50270"/>
    <w:rsid w:val="00A51231"/>
    <w:rsid w:val="00A5614F"/>
    <w:rsid w:val="00A63A51"/>
    <w:rsid w:val="00A70F09"/>
    <w:rsid w:val="00A7111A"/>
    <w:rsid w:val="00A74B1A"/>
    <w:rsid w:val="00A83FB6"/>
    <w:rsid w:val="00A855B9"/>
    <w:rsid w:val="00A85CDE"/>
    <w:rsid w:val="00A902B2"/>
    <w:rsid w:val="00A9588A"/>
    <w:rsid w:val="00AA2654"/>
    <w:rsid w:val="00AB76EA"/>
    <w:rsid w:val="00AC0E87"/>
    <w:rsid w:val="00AC3AD8"/>
    <w:rsid w:val="00AD561E"/>
    <w:rsid w:val="00AE66AC"/>
    <w:rsid w:val="00AF14D6"/>
    <w:rsid w:val="00AF50CE"/>
    <w:rsid w:val="00AF7CC4"/>
    <w:rsid w:val="00B06C7A"/>
    <w:rsid w:val="00B07271"/>
    <w:rsid w:val="00B21CE6"/>
    <w:rsid w:val="00B255C5"/>
    <w:rsid w:val="00B2653F"/>
    <w:rsid w:val="00B31918"/>
    <w:rsid w:val="00B36649"/>
    <w:rsid w:val="00B60A4D"/>
    <w:rsid w:val="00B61EF2"/>
    <w:rsid w:val="00B63A17"/>
    <w:rsid w:val="00B65CF9"/>
    <w:rsid w:val="00B7393A"/>
    <w:rsid w:val="00B75D80"/>
    <w:rsid w:val="00B7602D"/>
    <w:rsid w:val="00B77D03"/>
    <w:rsid w:val="00B8187E"/>
    <w:rsid w:val="00B91CFD"/>
    <w:rsid w:val="00B93385"/>
    <w:rsid w:val="00B96479"/>
    <w:rsid w:val="00BA54C2"/>
    <w:rsid w:val="00BB04F6"/>
    <w:rsid w:val="00BC2E4A"/>
    <w:rsid w:val="00BC3B58"/>
    <w:rsid w:val="00BC3F1E"/>
    <w:rsid w:val="00BD0751"/>
    <w:rsid w:val="00BD38FF"/>
    <w:rsid w:val="00BD6EFB"/>
    <w:rsid w:val="00BE5BC9"/>
    <w:rsid w:val="00BE6382"/>
    <w:rsid w:val="00BF1AE6"/>
    <w:rsid w:val="00BF7479"/>
    <w:rsid w:val="00C03D49"/>
    <w:rsid w:val="00C06D60"/>
    <w:rsid w:val="00C2087B"/>
    <w:rsid w:val="00C2295C"/>
    <w:rsid w:val="00C2649F"/>
    <w:rsid w:val="00C30EA6"/>
    <w:rsid w:val="00C36512"/>
    <w:rsid w:val="00C36DDD"/>
    <w:rsid w:val="00C500D5"/>
    <w:rsid w:val="00C57052"/>
    <w:rsid w:val="00C61E5E"/>
    <w:rsid w:val="00C6506C"/>
    <w:rsid w:val="00C75586"/>
    <w:rsid w:val="00C8205C"/>
    <w:rsid w:val="00C93E28"/>
    <w:rsid w:val="00CA1571"/>
    <w:rsid w:val="00CA7216"/>
    <w:rsid w:val="00CB3CB6"/>
    <w:rsid w:val="00CB4F57"/>
    <w:rsid w:val="00CC0025"/>
    <w:rsid w:val="00CC39EB"/>
    <w:rsid w:val="00CD3358"/>
    <w:rsid w:val="00CE020C"/>
    <w:rsid w:val="00CE2639"/>
    <w:rsid w:val="00CE5B6B"/>
    <w:rsid w:val="00CF04CD"/>
    <w:rsid w:val="00CF16E1"/>
    <w:rsid w:val="00CF6524"/>
    <w:rsid w:val="00D02601"/>
    <w:rsid w:val="00D02CBC"/>
    <w:rsid w:val="00D04320"/>
    <w:rsid w:val="00D04933"/>
    <w:rsid w:val="00D1747F"/>
    <w:rsid w:val="00D21B7A"/>
    <w:rsid w:val="00D243DB"/>
    <w:rsid w:val="00D33AF3"/>
    <w:rsid w:val="00D34E72"/>
    <w:rsid w:val="00D366DF"/>
    <w:rsid w:val="00D4083B"/>
    <w:rsid w:val="00D46D40"/>
    <w:rsid w:val="00D517C4"/>
    <w:rsid w:val="00D55F59"/>
    <w:rsid w:val="00D62D5A"/>
    <w:rsid w:val="00D638F1"/>
    <w:rsid w:val="00D63C3D"/>
    <w:rsid w:val="00D7166A"/>
    <w:rsid w:val="00D71A86"/>
    <w:rsid w:val="00D750C3"/>
    <w:rsid w:val="00D75F88"/>
    <w:rsid w:val="00D85918"/>
    <w:rsid w:val="00D85956"/>
    <w:rsid w:val="00D85D04"/>
    <w:rsid w:val="00D912E5"/>
    <w:rsid w:val="00D92D54"/>
    <w:rsid w:val="00DA0B25"/>
    <w:rsid w:val="00DA3496"/>
    <w:rsid w:val="00DB0A95"/>
    <w:rsid w:val="00DC0E40"/>
    <w:rsid w:val="00DC2A24"/>
    <w:rsid w:val="00DD3774"/>
    <w:rsid w:val="00DD6655"/>
    <w:rsid w:val="00DD6CB7"/>
    <w:rsid w:val="00DE14DF"/>
    <w:rsid w:val="00DE6EBD"/>
    <w:rsid w:val="00DF5D0C"/>
    <w:rsid w:val="00DF647C"/>
    <w:rsid w:val="00E020D6"/>
    <w:rsid w:val="00E1142A"/>
    <w:rsid w:val="00E17D90"/>
    <w:rsid w:val="00E2336E"/>
    <w:rsid w:val="00E24AA1"/>
    <w:rsid w:val="00E26B56"/>
    <w:rsid w:val="00E27D54"/>
    <w:rsid w:val="00E27DD8"/>
    <w:rsid w:val="00E301B0"/>
    <w:rsid w:val="00E326A8"/>
    <w:rsid w:val="00E4061F"/>
    <w:rsid w:val="00E455F0"/>
    <w:rsid w:val="00E50554"/>
    <w:rsid w:val="00E5419B"/>
    <w:rsid w:val="00E57971"/>
    <w:rsid w:val="00E72862"/>
    <w:rsid w:val="00E73098"/>
    <w:rsid w:val="00E7751B"/>
    <w:rsid w:val="00E92E7C"/>
    <w:rsid w:val="00E93DEB"/>
    <w:rsid w:val="00E95EB2"/>
    <w:rsid w:val="00E97444"/>
    <w:rsid w:val="00EA0695"/>
    <w:rsid w:val="00EA1537"/>
    <w:rsid w:val="00EA393A"/>
    <w:rsid w:val="00EA4096"/>
    <w:rsid w:val="00EA553E"/>
    <w:rsid w:val="00EC744F"/>
    <w:rsid w:val="00ED2FE6"/>
    <w:rsid w:val="00ED3956"/>
    <w:rsid w:val="00ED5401"/>
    <w:rsid w:val="00ED5E39"/>
    <w:rsid w:val="00EF0E5B"/>
    <w:rsid w:val="00EF6DB8"/>
    <w:rsid w:val="00F04C67"/>
    <w:rsid w:val="00F143EC"/>
    <w:rsid w:val="00F16C15"/>
    <w:rsid w:val="00F178FF"/>
    <w:rsid w:val="00F209F8"/>
    <w:rsid w:val="00F2237F"/>
    <w:rsid w:val="00F22F58"/>
    <w:rsid w:val="00F23DB7"/>
    <w:rsid w:val="00F24239"/>
    <w:rsid w:val="00F2425A"/>
    <w:rsid w:val="00F254C2"/>
    <w:rsid w:val="00F31ED7"/>
    <w:rsid w:val="00F426D8"/>
    <w:rsid w:val="00F53430"/>
    <w:rsid w:val="00F54772"/>
    <w:rsid w:val="00F554CF"/>
    <w:rsid w:val="00F62519"/>
    <w:rsid w:val="00F6647A"/>
    <w:rsid w:val="00F71310"/>
    <w:rsid w:val="00F72AEE"/>
    <w:rsid w:val="00F76029"/>
    <w:rsid w:val="00F85197"/>
    <w:rsid w:val="00F9202D"/>
    <w:rsid w:val="00FA4893"/>
    <w:rsid w:val="00FB24DF"/>
    <w:rsid w:val="00FC5DEE"/>
    <w:rsid w:val="00FC71D8"/>
    <w:rsid w:val="00FE2322"/>
    <w:rsid w:val="00FE64BC"/>
    <w:rsid w:val="00FF0E3F"/>
    <w:rsid w:val="3827CCC2"/>
    <w:rsid w:val="50D53246"/>
    <w:rsid w:val="58D71ED3"/>
    <w:rsid w:val="5D3B27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D0E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semiHidden/>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6"/>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tabs>
        <w:tab w:val="num" w:pos="532"/>
      </w:tabs>
      <w:spacing w:before="0" w:after="240" w:line="260" w:lineRule="exact"/>
      <w:ind w:left="532" w:hanging="284"/>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link w:val="InstructionalguidancedotpointChar"/>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qFormat/>
    <w:rsid w:val="005D0844"/>
    <w:pPr>
      <w:numPr>
        <w:ilvl w:val="1"/>
        <w:numId w:val="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semiHidden/>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styleId="FollowedHyperlink">
    <w:name w:val="FollowedHyperlink"/>
    <w:basedOn w:val="DefaultParagraphFont"/>
    <w:uiPriority w:val="99"/>
    <w:semiHidden/>
    <w:unhideWhenUsed/>
    <w:rsid w:val="000A4EB2"/>
    <w:rPr>
      <w:color w:val="954F72" w:themeColor="followedHyperlink"/>
      <w:u w:val="single"/>
    </w:rPr>
  </w:style>
  <w:style w:type="character" w:customStyle="1" w:styleId="InstructionalguidancedotpointChar">
    <w:name w:val="Instructional guidance dot point Char"/>
    <w:basedOn w:val="InstructionalguidanceChar"/>
    <w:link w:val="Instructionalguidancedotpoint"/>
    <w:uiPriority w:val="99"/>
    <w:rsid w:val="000A4EB2"/>
    <w:rPr>
      <w:rFonts w:ascii="Calibri" w:eastAsia="Calibri" w:hAnsi="Calibri"/>
      <w:color w:val="2F5496" w:themeColor="accent1" w:themeShade="BF"/>
      <w:lang w:eastAsia="en-GB"/>
    </w:rPr>
  </w:style>
  <w:style w:type="paragraph" w:customStyle="1" w:styleId="Bullet">
    <w:name w:val="Bullet"/>
    <w:basedOn w:val="Normal"/>
    <w:link w:val="BulletChar"/>
    <w:rsid w:val="0027000D"/>
    <w:pPr>
      <w:tabs>
        <w:tab w:val="num" w:pos="520"/>
        <w:tab w:val="left" w:pos="720"/>
      </w:tabs>
      <w:ind w:left="520" w:hanging="520"/>
    </w:pPr>
    <w:rPr>
      <w:rFonts w:eastAsia="Calibri"/>
      <w:color w:val="2F5496" w:themeColor="accent1" w:themeShade="BF"/>
      <w:lang w:eastAsia="en-GB"/>
    </w:rPr>
  </w:style>
  <w:style w:type="character" w:customStyle="1" w:styleId="BulletChar">
    <w:name w:val="Bullet Char"/>
    <w:basedOn w:val="InstructionalguidancedotpointChar"/>
    <w:link w:val="Bullet"/>
    <w:rsid w:val="0027000D"/>
    <w:rPr>
      <w:rFonts w:ascii="Times New Roman" w:eastAsia="Calibri" w:hAnsi="Times New Roman"/>
      <w:color w:val="2F5496" w:themeColor="accent1" w:themeShade="BF"/>
      <w:lang w:eastAsia="en-GB"/>
    </w:rPr>
  </w:style>
  <w:style w:type="paragraph" w:customStyle="1" w:styleId="DoubleDot">
    <w:name w:val="Double Dot"/>
    <w:basedOn w:val="Normal"/>
    <w:rsid w:val="0027000D"/>
    <w:pPr>
      <w:tabs>
        <w:tab w:val="left" w:pos="720"/>
        <w:tab w:val="num" w:pos="1560"/>
      </w:tabs>
      <w:ind w:left="1560" w:hanging="520"/>
    </w:pPr>
    <w:rPr>
      <w:rFonts w:eastAsia="Calibri"/>
      <w:color w:val="2F5496" w:themeColor="accent1" w:themeShade="BF"/>
      <w:lang w:eastAsia="en-GB"/>
    </w:rPr>
  </w:style>
  <w:style w:type="character" w:styleId="CommentReference">
    <w:name w:val="annotation reference"/>
    <w:basedOn w:val="DefaultParagraphFont"/>
    <w:uiPriority w:val="99"/>
    <w:semiHidden/>
    <w:unhideWhenUsed/>
    <w:rsid w:val="00897509"/>
    <w:rPr>
      <w:sz w:val="16"/>
      <w:szCs w:val="16"/>
    </w:rPr>
  </w:style>
  <w:style w:type="paragraph" w:styleId="CommentText">
    <w:name w:val="annotation text"/>
    <w:basedOn w:val="Normal"/>
    <w:link w:val="CommentTextChar"/>
    <w:uiPriority w:val="99"/>
    <w:unhideWhenUsed/>
    <w:rsid w:val="00897509"/>
    <w:rPr>
      <w:sz w:val="20"/>
      <w:szCs w:val="20"/>
    </w:rPr>
  </w:style>
  <w:style w:type="character" w:customStyle="1" w:styleId="CommentTextChar">
    <w:name w:val="Comment Text Char"/>
    <w:basedOn w:val="DefaultParagraphFont"/>
    <w:link w:val="CommentText"/>
    <w:uiPriority w:val="99"/>
    <w:rsid w:val="0089750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97509"/>
    <w:rPr>
      <w:b/>
      <w:bCs/>
    </w:rPr>
  </w:style>
  <w:style w:type="character" w:customStyle="1" w:styleId="CommentSubjectChar">
    <w:name w:val="Comment Subject Char"/>
    <w:basedOn w:val="CommentTextChar"/>
    <w:link w:val="CommentSubject"/>
    <w:uiPriority w:val="99"/>
    <w:semiHidden/>
    <w:rsid w:val="00897509"/>
    <w:rPr>
      <w:rFonts w:ascii="Times New Roman" w:hAnsi="Times New Roman"/>
      <w:b/>
      <w:bCs/>
      <w:sz w:val="20"/>
      <w:szCs w:val="20"/>
    </w:rPr>
  </w:style>
  <w:style w:type="character" w:customStyle="1" w:styleId="normaltextrun">
    <w:name w:val="normaltextrun"/>
    <w:basedOn w:val="DefaultParagraphFont"/>
    <w:rsid w:val="00043512"/>
  </w:style>
  <w:style w:type="character" w:customStyle="1" w:styleId="eop">
    <w:name w:val="eop"/>
    <w:basedOn w:val="DefaultParagraphFont"/>
    <w:rsid w:val="00043512"/>
  </w:style>
  <w:style w:type="character" w:customStyle="1" w:styleId="cf01">
    <w:name w:val="cf01"/>
    <w:basedOn w:val="DefaultParagraphFont"/>
    <w:rsid w:val="00371BF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529102">
      <w:bodyDiv w:val="1"/>
      <w:marLeft w:val="0"/>
      <w:marRight w:val="0"/>
      <w:marTop w:val="0"/>
      <w:marBottom w:val="0"/>
      <w:divBdr>
        <w:top w:val="none" w:sz="0" w:space="0" w:color="auto"/>
        <w:left w:val="none" w:sz="0" w:space="0" w:color="auto"/>
        <w:bottom w:val="none" w:sz="0" w:space="0" w:color="auto"/>
        <w:right w:val="none" w:sz="0" w:space="0" w:color="auto"/>
      </w:divBdr>
    </w:div>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492915140">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Explanatory materials: Treasury Laws Amendment Bill 2024: Denying Deductions for Interest Charges</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materials: Treasury Laws Amendment Bill 2024: Denying Deductions for Interest Charges</dc:title>
  <dc:subject/>
  <dc:creator/>
  <cp:keywords/>
  <dc:description/>
  <cp:lastModifiedBy/>
  <cp:revision>1</cp:revision>
  <dcterms:created xsi:type="dcterms:W3CDTF">2024-09-24T03:32:00Z</dcterms:created>
  <dcterms:modified xsi:type="dcterms:W3CDTF">2024-09-24T03:33:00Z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2024-09-24T03:33:53Z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d0d90ce4-fee1-4057-9913-42ed94a0c32b</vt:lpwstr>
  </property>
  <property fmtid="{D5CDD505-2E9C-101B-9397-08002B2CF9AE}" pid="8" name="MSIP_Label_4f932d64-9ab1-4d9b-81d2-a3a8b82dd47d_ContentBits">
    <vt:lpwstr>0</vt:lpwstr>
  </property>
</Properties>
</file>