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15E1" w14:textId="339A5501" w:rsidR="00EE3E3E" w:rsidRDefault="00EE3E3E" w:rsidP="00EE3E3E">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2022–2023–2024</w:t>
      </w:r>
    </w:p>
    <w:p w14:paraId="1DD6434A" w14:textId="77777777" w:rsidR="00EE3E3E" w:rsidRDefault="00EE3E3E" w:rsidP="00EE3E3E">
      <w:pPr>
        <w:pStyle w:val="Baseparagraphcentred"/>
      </w:pPr>
    </w:p>
    <w:p w14:paraId="3FE02C99" w14:textId="77777777" w:rsidR="00EE3E3E" w:rsidRDefault="00EE3E3E" w:rsidP="00EE3E3E">
      <w:pPr>
        <w:pStyle w:val="Baseparagraphcentred"/>
      </w:pPr>
      <w:r>
        <w:t>THE PARLIAMENT OF THE COMMONWEALTH OF AUSTRALIA</w:t>
      </w:r>
    </w:p>
    <w:p w14:paraId="161BC4B3" w14:textId="77777777" w:rsidR="00EE3E3E" w:rsidRDefault="00EE3E3E" w:rsidP="00EE3E3E">
      <w:pPr>
        <w:pStyle w:val="Baseparagraphcentred"/>
      </w:pPr>
    </w:p>
    <w:p w14:paraId="4255B5B5" w14:textId="77777777" w:rsidR="00EE3E3E" w:rsidRDefault="00EE3E3E" w:rsidP="00EE3E3E">
      <w:pPr>
        <w:pStyle w:val="Baseparagraphcentred"/>
      </w:pPr>
    </w:p>
    <w:p w14:paraId="6D28C0CF" w14:textId="77777777" w:rsidR="00EE3E3E" w:rsidRDefault="00EE3E3E" w:rsidP="00EE3E3E">
      <w:pPr>
        <w:pStyle w:val="Baseparagraphcentred"/>
      </w:pPr>
    </w:p>
    <w:p w14:paraId="4F79C028" w14:textId="77777777" w:rsidR="00EE3E3E" w:rsidRDefault="00EE3E3E" w:rsidP="00EE3E3E">
      <w:pPr>
        <w:pStyle w:val="Baseparagraphcentred"/>
      </w:pPr>
      <w:r>
        <w:t>HOUSE OF REPRESENTATIVES</w:t>
      </w:r>
    </w:p>
    <w:p w14:paraId="0CCD9B39" w14:textId="77777777" w:rsidR="00EE3E3E" w:rsidRDefault="00EE3E3E" w:rsidP="00EE3E3E">
      <w:pPr>
        <w:pStyle w:val="Baseparagraphcentred"/>
      </w:pPr>
    </w:p>
    <w:p w14:paraId="46C88145" w14:textId="77777777" w:rsidR="00EE3E3E" w:rsidRDefault="00EE3E3E" w:rsidP="00EE3E3E">
      <w:pPr>
        <w:pStyle w:val="Baseparagraphcentred"/>
      </w:pPr>
    </w:p>
    <w:p w14:paraId="15140A50" w14:textId="77777777" w:rsidR="00EE3E3E" w:rsidRDefault="00EE3E3E" w:rsidP="00EE3E3E">
      <w:pPr>
        <w:pStyle w:val="Baseparagraphcentred"/>
        <w:pBdr>
          <w:bottom w:val="single" w:sz="4" w:space="1" w:color="auto"/>
        </w:pBdr>
      </w:pPr>
    </w:p>
    <w:p w14:paraId="3CDC5529" w14:textId="2A8DB305" w:rsidR="00EE3E3E" w:rsidRPr="00E24AA1" w:rsidRDefault="00EE3E3E" w:rsidP="00EE3E3E">
      <w:pPr>
        <w:pStyle w:val="BillName"/>
      </w:pPr>
      <w:bookmarkStart w:id="6" w:name="BillName"/>
      <w:bookmarkEnd w:id="6"/>
      <w:r>
        <w:t>Treasury Laws Amendment (</w:t>
      </w:r>
      <w:r w:rsidR="00412EC4">
        <w:t>FAIRER FOR FAMILIES AND FARMERS</w:t>
      </w:r>
      <w:r>
        <w:t>) Bill 2024</w:t>
      </w:r>
      <w:r w:rsidR="00412EC4">
        <w:t xml:space="preserve">: industry codes (penalties and other </w:t>
      </w:r>
      <w:r w:rsidR="00A80CF0">
        <w:t>AMENDMENTS</w:t>
      </w:r>
      <w:r w:rsidR="00412EC4">
        <w:t>)</w:t>
      </w:r>
    </w:p>
    <w:p w14:paraId="6BBBE547" w14:textId="77777777" w:rsidR="00EE3E3E" w:rsidRDefault="00EE3E3E" w:rsidP="00EE3E3E">
      <w:pPr>
        <w:pStyle w:val="Baseparagraphcentred"/>
        <w:pBdr>
          <w:top w:val="single" w:sz="4" w:space="1" w:color="auto"/>
        </w:pBdr>
      </w:pPr>
    </w:p>
    <w:p w14:paraId="2257B767" w14:textId="77777777" w:rsidR="00EE3E3E" w:rsidRDefault="00EE3E3E" w:rsidP="00EE3E3E">
      <w:pPr>
        <w:pStyle w:val="Baseparagraphcentred"/>
      </w:pPr>
    </w:p>
    <w:p w14:paraId="1A239F65" w14:textId="77777777" w:rsidR="00EE3E3E" w:rsidRDefault="00EE3E3E" w:rsidP="00EE3E3E">
      <w:pPr>
        <w:pStyle w:val="Baseparagraphcentred"/>
      </w:pPr>
    </w:p>
    <w:p w14:paraId="63A6A946" w14:textId="77777777" w:rsidR="00EE3E3E" w:rsidRDefault="00EE3E3E" w:rsidP="00EE3E3E">
      <w:pPr>
        <w:pStyle w:val="Baseparagraphcentred"/>
      </w:pPr>
    </w:p>
    <w:p w14:paraId="0BB8DC7E" w14:textId="2E67B965" w:rsidR="00EE3E3E" w:rsidRDefault="00971008" w:rsidP="00EE3E3E">
      <w:pPr>
        <w:pStyle w:val="Baseparagraphcentred"/>
      </w:pPr>
      <w:r>
        <w:t>EXPOSURE DRAFT EXPLANATORY MATERIALS</w:t>
      </w:r>
    </w:p>
    <w:p w14:paraId="4DEF7D21" w14:textId="77777777" w:rsidR="00EE3E3E" w:rsidRDefault="00EE3E3E" w:rsidP="00EE3E3E">
      <w:pPr>
        <w:pStyle w:val="Baseparagraphcentred"/>
      </w:pPr>
    </w:p>
    <w:p w14:paraId="77A02D08" w14:textId="77777777" w:rsidR="00EE3E3E" w:rsidRDefault="00EE3E3E" w:rsidP="00EE3E3E">
      <w:pPr>
        <w:pStyle w:val="Baseparagraphcentred"/>
      </w:pPr>
    </w:p>
    <w:p w14:paraId="56EC8823" w14:textId="77777777" w:rsidR="00EE3E3E" w:rsidRDefault="00EE3E3E" w:rsidP="00EE3E3E">
      <w:pPr>
        <w:pStyle w:val="ParaCentredNoSpacing"/>
      </w:pPr>
    </w:p>
    <w:p w14:paraId="4B2F86D9" w14:textId="77777777" w:rsidR="00EE3E3E" w:rsidRPr="00967273" w:rsidRDefault="00EE3E3E" w:rsidP="00EE3E3E">
      <w:pPr>
        <w:pStyle w:val="Normalparatextnonumbers"/>
        <w:jc w:val="center"/>
        <w:rPr>
          <w:rFonts w:cs="Calibri"/>
          <w:color w:val="000000" w:themeColor="text1"/>
        </w:rPr>
      </w:pPr>
    </w:p>
    <w:p w14:paraId="4F16112E" w14:textId="77777777" w:rsidR="00EE3E3E" w:rsidRPr="00020288" w:rsidRDefault="00EE3E3E" w:rsidP="00EE3E3E">
      <w:pPr>
        <w:pStyle w:val="Normalparatextnonumbers"/>
      </w:pPr>
    </w:p>
    <w:p w14:paraId="1C9DFF7C" w14:textId="77777777" w:rsidR="00EE3E3E" w:rsidRDefault="00EE3E3E" w:rsidP="00EE3E3E">
      <w:pPr>
        <w:pStyle w:val="Normalparatextnonumbers"/>
      </w:pPr>
      <w:bookmarkStart w:id="7" w:name="ConsultPreamble"/>
      <w:bookmarkEnd w:id="7"/>
    </w:p>
    <w:p w14:paraId="745EEF7E" w14:textId="77777777" w:rsidR="00EE3E3E" w:rsidRPr="00020288" w:rsidRDefault="00EE3E3E" w:rsidP="00EE3E3E">
      <w:pPr>
        <w:pStyle w:val="Normalparatextnonumbers"/>
      </w:pPr>
    </w:p>
    <w:p w14:paraId="79169E7E" w14:textId="77777777" w:rsidR="00EE3E3E" w:rsidRPr="00CB24DC" w:rsidRDefault="00EE3E3E" w:rsidP="00DD08B2">
      <w:pPr>
        <w:sectPr w:rsidR="00EE3E3E" w:rsidRPr="00CB24DC" w:rsidSect="00931BD1">
          <w:footerReference w:type="even" r:id="rId8"/>
          <w:footerReference w:type="default" r:id="rId9"/>
          <w:headerReference w:type="first" r:id="rId10"/>
          <w:footerReference w:type="first" r:id="rId11"/>
          <w:type w:val="oddPage"/>
          <w:pgSz w:w="9979" w:h="14175" w:code="138"/>
          <w:pgMar w:top="567" w:right="1134" w:bottom="567" w:left="1134" w:header="709" w:footer="709" w:gutter="0"/>
          <w:pgNumType w:fmt="lowerRoman"/>
          <w:cols w:space="708"/>
          <w:titlePg/>
          <w:docGrid w:linePitch="360"/>
        </w:sectPr>
      </w:pPr>
    </w:p>
    <w:p w14:paraId="5B217EF1" w14:textId="77777777" w:rsidR="006D6D38" w:rsidRPr="006D6D38" w:rsidRDefault="006D6D38" w:rsidP="006D6D38">
      <w:pPr>
        <w:pStyle w:val="Normalparatextnonumbers"/>
        <w:rPr>
          <w:b/>
          <w:bCs/>
        </w:rPr>
      </w:pPr>
      <w:bookmarkStart w:id="8" w:name="_Toc80172450"/>
      <w:bookmarkStart w:id="9" w:name="_Toc80197114"/>
      <w:bookmarkStart w:id="10" w:name="_Toc81852681"/>
      <w:bookmarkEnd w:id="0"/>
      <w:bookmarkEnd w:id="1"/>
      <w:bookmarkEnd w:id="2"/>
      <w:bookmarkEnd w:id="3"/>
      <w:bookmarkEnd w:id="4"/>
      <w:r w:rsidRPr="006D6D38">
        <w:rPr>
          <w:b/>
          <w:bCs/>
        </w:rPr>
        <w:lastRenderedPageBreak/>
        <w:t>Consultation preamble</w:t>
      </w:r>
    </w:p>
    <w:p w14:paraId="3DBBFCBF" w14:textId="432CC1FB" w:rsidR="006D6D38" w:rsidRDefault="006D6D38" w:rsidP="006D6D38">
      <w:pPr>
        <w:pStyle w:val="Normalparatextnonumbers"/>
      </w:pPr>
      <w:r w:rsidRPr="006D6D38">
        <w:t xml:space="preserve">Treasury seeks feedback on the effectiveness of this exposure draft explanatory material in explaining the policy context and operation of the proposed new law, including, but not limited to: </w:t>
      </w:r>
    </w:p>
    <w:p w14:paraId="4DF5DB3A" w14:textId="77777777" w:rsidR="006D6D38" w:rsidRPr="006D6D38" w:rsidRDefault="006D6D38" w:rsidP="006D6D38">
      <w:pPr>
        <w:pStyle w:val="Bullet"/>
        <w:rPr>
          <w:color w:val="auto"/>
        </w:rPr>
      </w:pPr>
      <w:r w:rsidRPr="006D6D38">
        <w:rPr>
          <w:color w:val="auto"/>
        </w:rPr>
        <w:t xml:space="preserve">how the new law is intended to </w:t>
      </w:r>
      <w:proofErr w:type="gramStart"/>
      <w:r w:rsidRPr="006D6D38">
        <w:rPr>
          <w:color w:val="auto"/>
        </w:rPr>
        <w:t>operate;</w:t>
      </w:r>
      <w:proofErr w:type="gramEnd"/>
      <w:r w:rsidRPr="006D6D38">
        <w:rPr>
          <w:color w:val="auto"/>
        </w:rPr>
        <w:t xml:space="preserve"> </w:t>
      </w:r>
    </w:p>
    <w:p w14:paraId="68171B03" w14:textId="77777777" w:rsidR="006D6D38" w:rsidRPr="006D6D38" w:rsidRDefault="006D6D38" w:rsidP="006D6D38">
      <w:pPr>
        <w:pStyle w:val="Bullet"/>
        <w:rPr>
          <w:color w:val="auto"/>
        </w:rPr>
      </w:pPr>
      <w:r w:rsidRPr="006D6D38">
        <w:rPr>
          <w:color w:val="auto"/>
        </w:rPr>
        <w:t xml:space="preserve">whether the background and policy context </w:t>
      </w:r>
      <w:proofErr w:type="gramStart"/>
      <w:r w:rsidRPr="006D6D38">
        <w:rPr>
          <w:color w:val="auto"/>
        </w:rPr>
        <w:t>is</w:t>
      </w:r>
      <w:proofErr w:type="gramEnd"/>
      <w:r w:rsidRPr="006D6D38">
        <w:rPr>
          <w:color w:val="auto"/>
        </w:rPr>
        <w:t xml:space="preserve"> sufficiently comprehensive to support understanding of the policy intent and outcomes of the new law;</w:t>
      </w:r>
    </w:p>
    <w:p w14:paraId="17BBC612" w14:textId="77777777" w:rsidR="006D6D38" w:rsidRPr="006D6D38" w:rsidRDefault="006D6D38" w:rsidP="006D6D38">
      <w:pPr>
        <w:pStyle w:val="Bullet"/>
        <w:rPr>
          <w:color w:val="auto"/>
        </w:rPr>
      </w:pPr>
      <w:r w:rsidRPr="006D6D38">
        <w:rPr>
          <w:color w:val="auto"/>
        </w:rPr>
        <w:t xml:space="preserve">the use of relevant examples, illustrations or diagrams as explanatory aids; and </w:t>
      </w:r>
    </w:p>
    <w:p w14:paraId="38C193F8" w14:textId="77777777" w:rsidR="006D6D38" w:rsidRPr="006D6D38" w:rsidRDefault="006D6D38" w:rsidP="006D6D38">
      <w:pPr>
        <w:pStyle w:val="Bullet"/>
        <w:rPr>
          <w:color w:val="auto"/>
        </w:rPr>
      </w:pPr>
      <w:r w:rsidRPr="006D6D38">
        <w:rPr>
          <w:color w:val="auto"/>
        </w:rPr>
        <w:t xml:space="preserve">any other matters affecting the readability or presentation of the explanatory material. </w:t>
      </w:r>
    </w:p>
    <w:p w14:paraId="43094C34" w14:textId="77777777" w:rsidR="006D6D38" w:rsidRDefault="006D6D38" w:rsidP="006D6D38">
      <w:pPr>
        <w:pStyle w:val="Normalparatextnonumbers"/>
      </w:pPr>
      <w:r w:rsidRPr="006D6D38">
        <w:t xml:space="preserve">Feedback on these matters will assist to ensure the Explanatory Memoranda for the Bill aids the Parliament’s consideration of the proposed new law and the needs of other users. </w:t>
      </w:r>
    </w:p>
    <w:p w14:paraId="2A6C6112" w14:textId="77777777" w:rsidR="008350B5" w:rsidRDefault="008350B5" w:rsidP="00EE3E3E">
      <w:pPr>
        <w:pStyle w:val="TOCHeading"/>
      </w:pPr>
    </w:p>
    <w:p w14:paraId="355AB841" w14:textId="77777777" w:rsidR="006D6D38" w:rsidRDefault="006D6D38" w:rsidP="006D6D38">
      <w:pPr>
        <w:pStyle w:val="Normalparatextnonumbers"/>
      </w:pPr>
    </w:p>
    <w:p w14:paraId="7015063C" w14:textId="77777777" w:rsidR="006D6D38" w:rsidRDefault="006D6D38" w:rsidP="006D6D38">
      <w:pPr>
        <w:pStyle w:val="Normalparatextnonumbers"/>
      </w:pPr>
    </w:p>
    <w:p w14:paraId="3637C78A" w14:textId="77777777" w:rsidR="006D6D38" w:rsidRDefault="006D6D38" w:rsidP="006D6D38">
      <w:pPr>
        <w:pStyle w:val="Normalparatextnonumbers"/>
      </w:pPr>
    </w:p>
    <w:p w14:paraId="29376B19" w14:textId="77777777" w:rsidR="006D6D38" w:rsidRDefault="006D6D38" w:rsidP="006D6D38">
      <w:pPr>
        <w:pStyle w:val="Normalparatextnonumbers"/>
      </w:pPr>
    </w:p>
    <w:p w14:paraId="7D476415" w14:textId="77777777" w:rsidR="006D6D38" w:rsidRDefault="006D6D38" w:rsidP="006D6D38">
      <w:pPr>
        <w:pStyle w:val="Normalparatextnonumbers"/>
      </w:pPr>
    </w:p>
    <w:p w14:paraId="02D438DB" w14:textId="77777777" w:rsidR="006D6D38" w:rsidRDefault="006D6D38" w:rsidP="006D6D38">
      <w:pPr>
        <w:pStyle w:val="Normalparatextnonumbers"/>
      </w:pPr>
    </w:p>
    <w:p w14:paraId="68E6241B" w14:textId="77777777" w:rsidR="006D6D38" w:rsidRDefault="006D6D38" w:rsidP="006D6D38">
      <w:pPr>
        <w:pStyle w:val="Normalparatextnonumbers"/>
      </w:pPr>
    </w:p>
    <w:p w14:paraId="1963E3BB" w14:textId="77777777" w:rsidR="006D6D38" w:rsidRDefault="006D6D38" w:rsidP="006D6D38">
      <w:pPr>
        <w:pStyle w:val="Normalparatextnonumbers"/>
      </w:pPr>
    </w:p>
    <w:p w14:paraId="2F6321F2" w14:textId="77777777" w:rsidR="006D6D38" w:rsidRDefault="006D6D38" w:rsidP="006D6D38">
      <w:pPr>
        <w:pStyle w:val="Normalparatextnonumbers"/>
      </w:pPr>
    </w:p>
    <w:p w14:paraId="1CC41650" w14:textId="77777777" w:rsidR="00453F2D" w:rsidRDefault="00453F2D" w:rsidP="006D6D38">
      <w:pPr>
        <w:pStyle w:val="Normalparatextnonumbers"/>
      </w:pPr>
    </w:p>
    <w:p w14:paraId="2D7144B2" w14:textId="77777777" w:rsidR="00453F2D" w:rsidRDefault="00453F2D" w:rsidP="006D6D38">
      <w:pPr>
        <w:pStyle w:val="Normalparatextnonumbers"/>
      </w:pPr>
    </w:p>
    <w:p w14:paraId="13BDE05E" w14:textId="77777777" w:rsidR="00453F2D" w:rsidRDefault="00453F2D" w:rsidP="006D6D38">
      <w:pPr>
        <w:pStyle w:val="Normalparatextnonumbers"/>
      </w:pPr>
    </w:p>
    <w:p w14:paraId="06042813" w14:textId="77777777" w:rsidR="00453F2D" w:rsidRDefault="00453F2D" w:rsidP="006D6D38">
      <w:pPr>
        <w:pStyle w:val="Normalparatextnonumbers"/>
      </w:pPr>
    </w:p>
    <w:p w14:paraId="13B0FE3C" w14:textId="77777777" w:rsidR="006D6D38" w:rsidRDefault="006D6D38" w:rsidP="006D6D38">
      <w:pPr>
        <w:pStyle w:val="Normalparatextnonumbers"/>
      </w:pPr>
    </w:p>
    <w:p w14:paraId="54E379D2" w14:textId="77777777" w:rsidR="006D6D38" w:rsidRDefault="006D6D38" w:rsidP="006D6D38">
      <w:pPr>
        <w:pStyle w:val="Normalparatextnonumbers"/>
      </w:pPr>
    </w:p>
    <w:p w14:paraId="2F6B09FB" w14:textId="77777777" w:rsidR="006D6D38" w:rsidRDefault="006D6D38" w:rsidP="006D6D38">
      <w:pPr>
        <w:pStyle w:val="Normalparatextnonumbers"/>
      </w:pPr>
    </w:p>
    <w:p w14:paraId="3E199793" w14:textId="77777777" w:rsidR="006D6D38" w:rsidRPr="006D6D38" w:rsidRDefault="006D6D38" w:rsidP="006D6D38">
      <w:pPr>
        <w:pStyle w:val="Normalparatextnonumbers"/>
      </w:pPr>
    </w:p>
    <w:p w14:paraId="73CB535D" w14:textId="4D2F4B66" w:rsidR="00EE3E3E" w:rsidRPr="00020288" w:rsidRDefault="00EE3E3E" w:rsidP="00EE3E3E">
      <w:pPr>
        <w:pStyle w:val="TOCHeading"/>
      </w:pPr>
      <w:r w:rsidRPr="00020288">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2D984C7F" w14:textId="56CC23BB" w:rsidR="008D5543" w:rsidRDefault="00EE3E3E">
      <w:pPr>
        <w:pStyle w:val="TOC1"/>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8D5543">
        <w:rPr>
          <w:noProof/>
        </w:rPr>
        <w:t>Glossary</w:t>
      </w:r>
      <w:r w:rsidR="008D5543">
        <w:rPr>
          <w:noProof/>
        </w:rPr>
        <w:tab/>
      </w:r>
      <w:r w:rsidR="008D5543">
        <w:rPr>
          <w:noProof/>
        </w:rPr>
        <w:tab/>
      </w:r>
      <w:r w:rsidR="008D5543">
        <w:rPr>
          <w:noProof/>
        </w:rPr>
        <w:fldChar w:fldCharType="begin"/>
      </w:r>
      <w:r w:rsidR="008D5543">
        <w:rPr>
          <w:noProof/>
        </w:rPr>
        <w:instrText xml:space="preserve"> PAGEREF _Toc177396789 \h </w:instrText>
      </w:r>
      <w:r w:rsidR="008D5543">
        <w:rPr>
          <w:noProof/>
        </w:rPr>
      </w:r>
      <w:r w:rsidR="008D5543">
        <w:rPr>
          <w:noProof/>
        </w:rPr>
        <w:fldChar w:fldCharType="separate"/>
      </w:r>
      <w:r w:rsidR="002E7611">
        <w:rPr>
          <w:noProof/>
        </w:rPr>
        <w:t>iii</w:t>
      </w:r>
      <w:r w:rsidR="008D5543">
        <w:rPr>
          <w:noProof/>
        </w:rPr>
        <w:fldChar w:fldCharType="end"/>
      </w:r>
    </w:p>
    <w:p w14:paraId="46BB7309" w14:textId="05B17F48" w:rsidR="008D5543" w:rsidRDefault="008D5543">
      <w:pPr>
        <w:pStyle w:val="TOC1"/>
        <w:rPr>
          <w:rFonts w:asciiTheme="minorHAnsi" w:eastAsiaTheme="minorEastAsia" w:hAnsiTheme="minorHAnsi" w:cstheme="minorBidi"/>
          <w:bCs w:val="0"/>
          <w:noProof/>
          <w:kern w:val="2"/>
          <w:sz w:val="22"/>
          <w:szCs w:val="22"/>
          <w:lang w:eastAsia="en-AU"/>
          <w14:ligatures w14:val="standardContextual"/>
        </w:rPr>
      </w:pPr>
      <w:r w:rsidRPr="00CE7607">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Industry codes—penalties and other amendments</w:t>
      </w:r>
      <w:r>
        <w:rPr>
          <w:noProof/>
        </w:rPr>
        <w:tab/>
      </w:r>
      <w:r>
        <w:rPr>
          <w:noProof/>
        </w:rPr>
        <w:fldChar w:fldCharType="begin"/>
      </w:r>
      <w:r>
        <w:rPr>
          <w:noProof/>
        </w:rPr>
        <w:instrText xml:space="preserve"> PAGEREF _Toc177396790 \h </w:instrText>
      </w:r>
      <w:r>
        <w:rPr>
          <w:noProof/>
        </w:rPr>
      </w:r>
      <w:r>
        <w:rPr>
          <w:noProof/>
        </w:rPr>
        <w:fldChar w:fldCharType="separate"/>
      </w:r>
      <w:r w:rsidR="002E7611">
        <w:rPr>
          <w:noProof/>
        </w:rPr>
        <w:t>1</w:t>
      </w:r>
      <w:r>
        <w:rPr>
          <w:noProof/>
        </w:rPr>
        <w:fldChar w:fldCharType="end"/>
      </w:r>
    </w:p>
    <w:p w14:paraId="2563616A" w14:textId="3214161D" w:rsidR="00EE3E3E" w:rsidRPr="00020288" w:rsidRDefault="00EE3E3E" w:rsidP="00EE3E3E">
      <w:pPr>
        <w:pStyle w:val="TOC1"/>
      </w:pPr>
      <w:r w:rsidRPr="00BC2E4A">
        <w:fldChar w:fldCharType="end"/>
      </w:r>
    </w:p>
    <w:p w14:paraId="244BF069" w14:textId="77777777" w:rsidR="00EE3E3E" w:rsidRPr="00020288" w:rsidRDefault="00EE3E3E" w:rsidP="00EE3E3E"/>
    <w:p w14:paraId="1052AA43" w14:textId="77777777" w:rsidR="00EE3E3E" w:rsidRPr="00020288" w:rsidRDefault="00EE3E3E" w:rsidP="00EE3E3E">
      <w:pPr>
        <w:sectPr w:rsidR="00EE3E3E" w:rsidRPr="00020288" w:rsidSect="00A122D2">
          <w:headerReference w:type="even" r:id="rId12"/>
          <w:headerReference w:type="default" r:id="rId13"/>
          <w:footerReference w:type="even" r:id="rId14"/>
          <w:footerReference w:type="default" r:id="rId15"/>
          <w:headerReference w:type="first" r:id="rId16"/>
          <w:footerReference w:type="first" r:id="rId17"/>
          <w:type w:val="oddPage"/>
          <w:pgSz w:w="9979" w:h="14175" w:code="9"/>
          <w:pgMar w:top="567" w:right="1134" w:bottom="567" w:left="1134" w:header="709" w:footer="1077" w:gutter="0"/>
          <w:pgNumType w:fmt="lowerRoman" w:start="1"/>
          <w:cols w:space="708"/>
          <w:titlePg/>
          <w:docGrid w:linePitch="360"/>
        </w:sectPr>
      </w:pPr>
    </w:p>
    <w:p w14:paraId="4E5A9612" w14:textId="77777777" w:rsidR="00EE3E3E" w:rsidRPr="00020288" w:rsidRDefault="00EE3E3E" w:rsidP="00EE3E3E">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77396789"/>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ab/>
        <w:t xml:space="preserve"> </w:t>
      </w:r>
    </w:p>
    <w:p w14:paraId="043C0031" w14:textId="77777777" w:rsidR="00EE3E3E" w:rsidRPr="00020288" w:rsidRDefault="00EE3E3E" w:rsidP="00EE3E3E">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EE3E3E" w:rsidRPr="002E7A73" w14:paraId="2CDD9BEC" w14:textId="77777777" w:rsidTr="00BC03C5">
        <w:tc>
          <w:tcPr>
            <w:tcW w:w="3776" w:type="dxa"/>
            <w:shd w:val="clear" w:color="auto" w:fill="auto"/>
          </w:tcPr>
          <w:p w14:paraId="0CE00E80" w14:textId="77777777" w:rsidR="00EE3E3E" w:rsidRPr="002E7A73" w:rsidRDefault="00EE3E3E" w:rsidP="00BC03C5">
            <w:pPr>
              <w:pStyle w:val="Tableheaderrowtext"/>
            </w:pPr>
            <w:bookmarkStart w:id="30" w:name="GlossaryTableStart"/>
            <w:bookmarkEnd w:id="30"/>
            <w:r w:rsidRPr="002E7A73">
              <w:t>Abbreviation</w:t>
            </w:r>
          </w:p>
        </w:tc>
        <w:tc>
          <w:tcPr>
            <w:tcW w:w="3874" w:type="dxa"/>
            <w:shd w:val="clear" w:color="auto" w:fill="auto"/>
          </w:tcPr>
          <w:p w14:paraId="0A990EE8" w14:textId="77777777" w:rsidR="00EE3E3E" w:rsidRPr="002E7A73" w:rsidRDefault="00EE3E3E" w:rsidP="00BC03C5">
            <w:pPr>
              <w:pStyle w:val="Tableheaderrowtext"/>
            </w:pPr>
            <w:r w:rsidRPr="002E7A73">
              <w:t>Definition</w:t>
            </w:r>
          </w:p>
        </w:tc>
      </w:tr>
      <w:tr w:rsidR="00EE3E3E" w:rsidRPr="00020288" w14:paraId="2B7DC6B7" w14:textId="77777777" w:rsidTr="00BC03C5">
        <w:tc>
          <w:tcPr>
            <w:tcW w:w="3776" w:type="dxa"/>
          </w:tcPr>
          <w:p w14:paraId="4CB364B5" w14:textId="77777777" w:rsidR="00EE3E3E" w:rsidRPr="00020288" w:rsidRDefault="00EE3E3E" w:rsidP="00BC03C5">
            <w:pPr>
              <w:pStyle w:val="Normalparatextnonumbers"/>
            </w:pPr>
            <w:r>
              <w:t>ACCC</w:t>
            </w:r>
          </w:p>
        </w:tc>
        <w:tc>
          <w:tcPr>
            <w:tcW w:w="3874" w:type="dxa"/>
          </w:tcPr>
          <w:p w14:paraId="192B4188" w14:textId="77777777" w:rsidR="00EE3E3E" w:rsidRPr="00020288" w:rsidRDefault="00EE3E3E" w:rsidP="00BC03C5">
            <w:pPr>
              <w:pStyle w:val="Normalparatextnonumbers"/>
            </w:pPr>
            <w:r w:rsidRPr="00AF2FEF">
              <w:t>Australian Competition and Consumer Commission</w:t>
            </w:r>
          </w:p>
        </w:tc>
      </w:tr>
      <w:tr w:rsidR="00E9681E" w:rsidRPr="00020288" w14:paraId="7BC6FDC3" w14:textId="77777777" w:rsidTr="00BC03C5">
        <w:tc>
          <w:tcPr>
            <w:tcW w:w="3776" w:type="dxa"/>
          </w:tcPr>
          <w:p w14:paraId="75B63CDA" w14:textId="5BB7B67B" w:rsidR="00E9681E" w:rsidRDefault="00E9681E" w:rsidP="00BC03C5">
            <w:pPr>
              <w:pStyle w:val="Normalparatextnonumbers"/>
            </w:pPr>
            <w:r>
              <w:t>ACL</w:t>
            </w:r>
          </w:p>
        </w:tc>
        <w:tc>
          <w:tcPr>
            <w:tcW w:w="3874" w:type="dxa"/>
          </w:tcPr>
          <w:p w14:paraId="6B4972D3" w14:textId="7CC42DE8" w:rsidR="00E9681E" w:rsidRPr="00AF2FEF" w:rsidRDefault="00E9681E" w:rsidP="00BC03C5">
            <w:pPr>
              <w:pStyle w:val="Normalparatextnonumbers"/>
            </w:pPr>
            <w:r>
              <w:t>Australian Consumer Law</w:t>
            </w:r>
            <w:r w:rsidR="00E56546">
              <w:t xml:space="preserve"> as set out</w:t>
            </w:r>
            <w:r w:rsidR="000D0444">
              <w:t xml:space="preserve"> </w:t>
            </w:r>
            <w:r w:rsidR="00684047">
              <w:t xml:space="preserve">in </w:t>
            </w:r>
            <w:r w:rsidR="000D0444">
              <w:t xml:space="preserve">Schedule </w:t>
            </w:r>
            <w:r w:rsidR="009A07ED">
              <w:t>2</w:t>
            </w:r>
            <w:r w:rsidR="000D0444">
              <w:t xml:space="preserve"> to the </w:t>
            </w:r>
            <w:r w:rsidR="000D0444" w:rsidRPr="00453F2D">
              <w:rPr>
                <w:i/>
                <w:iCs/>
              </w:rPr>
              <w:t>Competition and Consumer Act 2010</w:t>
            </w:r>
          </w:p>
        </w:tc>
      </w:tr>
      <w:tr w:rsidR="00EE3E3E" w:rsidRPr="00020288" w14:paraId="3693B241" w14:textId="77777777" w:rsidTr="00BC03C5">
        <w:tc>
          <w:tcPr>
            <w:tcW w:w="3776" w:type="dxa"/>
          </w:tcPr>
          <w:p w14:paraId="446E56C9" w14:textId="77777777" w:rsidR="00EE3E3E" w:rsidRPr="00020288" w:rsidRDefault="00EE3E3E" w:rsidP="00BC03C5">
            <w:pPr>
              <w:pStyle w:val="Normalparatextnonumbers"/>
            </w:pPr>
            <w:r>
              <w:t>CCA</w:t>
            </w:r>
          </w:p>
        </w:tc>
        <w:tc>
          <w:tcPr>
            <w:tcW w:w="3874" w:type="dxa"/>
          </w:tcPr>
          <w:p w14:paraId="58044338" w14:textId="77777777" w:rsidR="00EE3E3E" w:rsidRPr="00020288" w:rsidRDefault="00EE3E3E" w:rsidP="00BC03C5">
            <w:pPr>
              <w:pStyle w:val="Normalparatextnonumbers"/>
            </w:pPr>
            <w:r>
              <w:rPr>
                <w:i/>
                <w:iCs/>
              </w:rPr>
              <w:t>Competition and Consumer Act 2010</w:t>
            </w:r>
          </w:p>
        </w:tc>
      </w:tr>
      <w:tr w:rsidR="00EE3E3E" w:rsidRPr="00020288" w14:paraId="5D026C31" w14:textId="77777777" w:rsidTr="00BC03C5">
        <w:tc>
          <w:tcPr>
            <w:tcW w:w="3776" w:type="dxa"/>
          </w:tcPr>
          <w:p w14:paraId="5B2A4B91" w14:textId="77777777" w:rsidR="00EE3E3E" w:rsidRPr="00020288" w:rsidRDefault="00EE3E3E" w:rsidP="00BC03C5">
            <w:pPr>
              <w:pStyle w:val="Normalparatextnonumbers"/>
            </w:pPr>
            <w:r>
              <w:t>Bill</w:t>
            </w:r>
          </w:p>
        </w:tc>
        <w:tc>
          <w:tcPr>
            <w:tcW w:w="3874" w:type="dxa"/>
          </w:tcPr>
          <w:p w14:paraId="00A1DF5C" w14:textId="41420255" w:rsidR="00EE3E3E" w:rsidRPr="00DB595E" w:rsidRDefault="00DB595E" w:rsidP="00BC03C5">
            <w:pPr>
              <w:pStyle w:val="Normalparatextnonumbers"/>
            </w:pPr>
            <w:r w:rsidRPr="00DB595E">
              <w:t xml:space="preserve">Treasury Laws Amendment (Fairer for Families and Farmers) Bill 2024: industry codes (penalties and other </w:t>
            </w:r>
            <w:r w:rsidR="00E56546">
              <w:t>amendment</w:t>
            </w:r>
            <w:r w:rsidR="00E56546" w:rsidRPr="00DB595E">
              <w:t>s</w:t>
            </w:r>
            <w:r w:rsidRPr="00DB595E">
              <w:t>)</w:t>
            </w:r>
          </w:p>
        </w:tc>
      </w:tr>
      <w:tr w:rsidR="00137F9A" w:rsidRPr="00020288" w14:paraId="21B03331" w14:textId="77777777" w:rsidTr="00BC03C5">
        <w:tc>
          <w:tcPr>
            <w:tcW w:w="3776" w:type="dxa"/>
          </w:tcPr>
          <w:p w14:paraId="3F5026F8" w14:textId="1D6433EE" w:rsidR="00137F9A" w:rsidRDefault="00137F9A" w:rsidP="00137F9A">
            <w:pPr>
              <w:pStyle w:val="Normalparatextnonumbers"/>
            </w:pPr>
            <w:r>
              <w:t xml:space="preserve">Franchising Code </w:t>
            </w:r>
          </w:p>
        </w:tc>
        <w:tc>
          <w:tcPr>
            <w:tcW w:w="3874" w:type="dxa"/>
          </w:tcPr>
          <w:p w14:paraId="00F3BD42" w14:textId="2828F0C7" w:rsidR="00137F9A" w:rsidRPr="00DB595E" w:rsidRDefault="00137F9A" w:rsidP="00137F9A">
            <w:pPr>
              <w:pStyle w:val="Normalparatextnonumbers"/>
            </w:pPr>
            <w:r w:rsidRPr="44ED652B">
              <w:rPr>
                <w:i/>
                <w:iCs/>
              </w:rPr>
              <w:t>Competition and Consumer (Industry Codes–Franchising) Regulation 2014</w:t>
            </w:r>
          </w:p>
        </w:tc>
      </w:tr>
      <w:tr w:rsidR="00137F9A" w:rsidRPr="00020288" w14:paraId="35961843" w14:textId="77777777" w:rsidTr="00BC03C5">
        <w:tc>
          <w:tcPr>
            <w:tcW w:w="3776" w:type="dxa"/>
          </w:tcPr>
          <w:p w14:paraId="1C95E077" w14:textId="571FB547" w:rsidR="00137F9A" w:rsidRDefault="00137F9A" w:rsidP="00137F9A">
            <w:pPr>
              <w:pStyle w:val="Normalparatextnonumbers"/>
            </w:pPr>
            <w:r>
              <w:t>Franchising Code Review</w:t>
            </w:r>
          </w:p>
        </w:tc>
        <w:tc>
          <w:tcPr>
            <w:tcW w:w="3874" w:type="dxa"/>
          </w:tcPr>
          <w:p w14:paraId="3CD0E962" w14:textId="767A423A" w:rsidR="00137F9A" w:rsidRPr="00DB595E" w:rsidRDefault="00137F9A" w:rsidP="00137F9A">
            <w:pPr>
              <w:pStyle w:val="Normalparatextnonumbers"/>
            </w:pPr>
            <w:r>
              <w:t>Independent Review of the Franchising Code of Conduct</w:t>
            </w:r>
          </w:p>
        </w:tc>
      </w:tr>
      <w:tr w:rsidR="00137F9A" w14:paraId="6C08D1FA" w14:textId="77777777" w:rsidTr="00BC03C5">
        <w:trPr>
          <w:trHeight w:val="300"/>
        </w:trPr>
        <w:tc>
          <w:tcPr>
            <w:tcW w:w="3776" w:type="dxa"/>
          </w:tcPr>
          <w:p w14:paraId="40FD6E3E" w14:textId="527C4437" w:rsidR="00137F9A" w:rsidRDefault="00617A68" w:rsidP="00137F9A">
            <w:pPr>
              <w:pStyle w:val="Normalparatextnonumbers"/>
            </w:pPr>
            <w:r>
              <w:t xml:space="preserve">Food and </w:t>
            </w:r>
            <w:r w:rsidR="00137F9A">
              <w:t xml:space="preserve">Grocery Code </w:t>
            </w:r>
          </w:p>
        </w:tc>
        <w:tc>
          <w:tcPr>
            <w:tcW w:w="3874" w:type="dxa"/>
          </w:tcPr>
          <w:p w14:paraId="557B08AE" w14:textId="77777777" w:rsidR="00137F9A" w:rsidRDefault="00137F9A" w:rsidP="00137F9A">
            <w:pPr>
              <w:pStyle w:val="Normalparatextnonumbers"/>
              <w:rPr>
                <w:i/>
                <w:iCs/>
              </w:rPr>
            </w:pPr>
            <w:r w:rsidRPr="44ED652B">
              <w:rPr>
                <w:rFonts w:eastAsia="Times New Roman" w:cs="Times New Roman"/>
                <w:i/>
                <w:iCs/>
                <w:color w:val="000000" w:themeColor="text1"/>
              </w:rPr>
              <w:t>Competition and Consumer (Industry Codes—Food and Grocery) Regulation 2015</w:t>
            </w:r>
          </w:p>
        </w:tc>
      </w:tr>
      <w:tr w:rsidR="00137F9A" w14:paraId="09DE534A" w14:textId="77777777" w:rsidTr="00BC03C5">
        <w:trPr>
          <w:trHeight w:val="300"/>
        </w:trPr>
        <w:tc>
          <w:tcPr>
            <w:tcW w:w="3776" w:type="dxa"/>
          </w:tcPr>
          <w:p w14:paraId="01A29E2C" w14:textId="42A9E43E" w:rsidR="00137F9A" w:rsidRDefault="00617A68" w:rsidP="00137F9A">
            <w:pPr>
              <w:pStyle w:val="Normalparatextnonumbers"/>
            </w:pPr>
            <w:r>
              <w:t xml:space="preserve">Food and </w:t>
            </w:r>
            <w:r w:rsidR="00137F9A">
              <w:t>Grocery Code Review</w:t>
            </w:r>
          </w:p>
        </w:tc>
        <w:tc>
          <w:tcPr>
            <w:tcW w:w="3874" w:type="dxa"/>
          </w:tcPr>
          <w:p w14:paraId="569AC0AB" w14:textId="4BA7C1E1" w:rsidR="00137F9A" w:rsidRPr="44ED652B" w:rsidRDefault="00137F9A" w:rsidP="00137F9A">
            <w:pPr>
              <w:pStyle w:val="Normalparatextnonumbers"/>
              <w:rPr>
                <w:rFonts w:eastAsia="Times New Roman" w:cs="Times New Roman"/>
                <w:i/>
                <w:iCs/>
                <w:color w:val="000000" w:themeColor="text1"/>
              </w:rPr>
            </w:pPr>
            <w:r>
              <w:t>Independent Review of the Food and Grocery Code of Conduct</w:t>
            </w:r>
          </w:p>
        </w:tc>
      </w:tr>
      <w:tr w:rsidR="00137F9A" w14:paraId="074C946A" w14:textId="77777777" w:rsidTr="00BC03C5">
        <w:trPr>
          <w:trHeight w:val="300"/>
        </w:trPr>
        <w:tc>
          <w:tcPr>
            <w:tcW w:w="3776" w:type="dxa"/>
          </w:tcPr>
          <w:p w14:paraId="296C4AB3" w14:textId="28B1991E" w:rsidR="00137F9A" w:rsidRDefault="00137F9A" w:rsidP="00137F9A">
            <w:pPr>
              <w:pStyle w:val="Normalparatextnonumbers"/>
            </w:pPr>
            <w:r>
              <w:t>Guide</w:t>
            </w:r>
          </w:p>
        </w:tc>
        <w:tc>
          <w:tcPr>
            <w:tcW w:w="3874" w:type="dxa"/>
          </w:tcPr>
          <w:p w14:paraId="3A7A77A4" w14:textId="2D4B8819" w:rsidR="00137F9A" w:rsidRPr="00C8179E" w:rsidRDefault="00137F9A" w:rsidP="00137F9A">
            <w:pPr>
              <w:pStyle w:val="Normalparatextnonumbers"/>
            </w:pPr>
            <w:r w:rsidRPr="00C8179E">
              <w:rPr>
                <w:rFonts w:eastAsia="Times New Roman" w:cs="Times New Roman"/>
                <w:color w:val="000000" w:themeColor="text1"/>
              </w:rPr>
              <w:t>A Guide to Framing Commonwealth Offences, Infringement Notices and Enforcement Powers</w:t>
            </w:r>
          </w:p>
        </w:tc>
      </w:tr>
    </w:tbl>
    <w:p w14:paraId="2A59A8B7" w14:textId="77777777" w:rsidR="00EE3E3E" w:rsidRPr="00020288" w:rsidRDefault="00EE3E3E" w:rsidP="00EE3E3E"/>
    <w:p w14:paraId="195034F7" w14:textId="77777777" w:rsidR="00EE3E3E" w:rsidRPr="00020288" w:rsidRDefault="00EE3E3E" w:rsidP="00EE3E3E"/>
    <w:p w14:paraId="350C9E47" w14:textId="77777777" w:rsidR="00EE3E3E" w:rsidRPr="00020288" w:rsidRDefault="00EE3E3E" w:rsidP="00DD08B2">
      <w:pPr>
        <w:pStyle w:val="Normalparatextnonumbers"/>
        <w:sectPr w:rsidR="00EE3E3E" w:rsidRPr="00020288" w:rsidSect="00EE3E3E">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6077E3BE" w14:textId="7EAAF55B" w:rsidR="00EE3E3E" w:rsidRPr="0073326A" w:rsidRDefault="00EE3E3E" w:rsidP="00EE3E3E">
      <w:pPr>
        <w:pStyle w:val="Chapterheading"/>
        <w:numPr>
          <w:ilvl w:val="0"/>
          <w:numId w:val="6"/>
        </w:numPr>
      </w:pPr>
      <w:bookmarkStart w:id="41" w:name="GeneralOutline"/>
      <w:bookmarkStart w:id="42" w:name="_Toc177396790"/>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Industry codes</w:t>
      </w:r>
      <w:r w:rsidR="00CA2C70" w:rsidRPr="00CA2C70">
        <w:t>—</w:t>
      </w:r>
      <w:r w:rsidR="00CA2C70">
        <w:t>penalties and other amendments</w:t>
      </w:r>
      <w:bookmarkEnd w:id="42"/>
      <w:r>
        <w:t xml:space="preserve"> </w:t>
      </w:r>
    </w:p>
    <w:p w14:paraId="7268D70C" w14:textId="77777777" w:rsidR="00EE3E3E" w:rsidRDefault="00EE3E3E" w:rsidP="00EE3E3E">
      <w:pPr>
        <w:pStyle w:val="TOCHeading"/>
      </w:pPr>
      <w:bookmarkStart w:id="43" w:name="Chapter1"/>
      <w:r>
        <w:t xml:space="preserve">Table of Contents: </w:t>
      </w:r>
    </w:p>
    <w:p w14:paraId="1AFB05AF" w14:textId="4811D6B7" w:rsidR="002B3C3B" w:rsidRDefault="00EE3E3E">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w:instrText>
      </w:r>
      <w:r>
        <w:fldChar w:fldCharType="separate"/>
      </w:r>
      <w:r w:rsidR="002B3C3B">
        <w:t>Outline of chapter</w:t>
      </w:r>
      <w:r w:rsidR="002B3C3B">
        <w:rPr>
          <w:webHidden/>
        </w:rPr>
        <w:tab/>
      </w:r>
      <w:r w:rsidR="002B3C3B">
        <w:rPr>
          <w:webHidden/>
        </w:rPr>
        <w:fldChar w:fldCharType="begin"/>
      </w:r>
      <w:r w:rsidR="002B3C3B">
        <w:rPr>
          <w:webHidden/>
        </w:rPr>
        <w:instrText xml:space="preserve"> PAGEREF _Toc177397311 \h </w:instrText>
      </w:r>
      <w:r w:rsidR="002B3C3B">
        <w:rPr>
          <w:webHidden/>
        </w:rPr>
      </w:r>
      <w:r w:rsidR="002B3C3B">
        <w:rPr>
          <w:webHidden/>
        </w:rPr>
        <w:fldChar w:fldCharType="separate"/>
      </w:r>
      <w:r w:rsidR="002E7611">
        <w:rPr>
          <w:webHidden/>
        </w:rPr>
        <w:t>1</w:t>
      </w:r>
      <w:r w:rsidR="002B3C3B">
        <w:rPr>
          <w:webHidden/>
        </w:rPr>
        <w:fldChar w:fldCharType="end"/>
      </w:r>
    </w:p>
    <w:p w14:paraId="2B15C791" w14:textId="5CFE27DB" w:rsidR="002B3C3B" w:rsidRDefault="002B3C3B">
      <w:pPr>
        <w:pStyle w:val="TOC2"/>
        <w:rPr>
          <w:rFonts w:asciiTheme="minorHAnsi" w:eastAsiaTheme="minorEastAsia" w:hAnsiTheme="minorHAnsi"/>
          <w:kern w:val="2"/>
          <w:sz w:val="22"/>
          <w:lang w:eastAsia="en-AU"/>
          <w14:ligatures w14:val="standardContextual"/>
        </w:rPr>
      </w:pPr>
      <w:r>
        <w:t>Context of amendments</w:t>
      </w:r>
      <w:r>
        <w:rPr>
          <w:webHidden/>
        </w:rPr>
        <w:tab/>
      </w:r>
      <w:r>
        <w:rPr>
          <w:webHidden/>
        </w:rPr>
        <w:fldChar w:fldCharType="begin"/>
      </w:r>
      <w:r>
        <w:rPr>
          <w:webHidden/>
        </w:rPr>
        <w:instrText xml:space="preserve"> PAGEREF _Toc177397312 \h </w:instrText>
      </w:r>
      <w:r>
        <w:rPr>
          <w:webHidden/>
        </w:rPr>
      </w:r>
      <w:r>
        <w:rPr>
          <w:webHidden/>
        </w:rPr>
        <w:fldChar w:fldCharType="separate"/>
      </w:r>
      <w:r w:rsidR="002E7611">
        <w:rPr>
          <w:webHidden/>
        </w:rPr>
        <w:t>2</w:t>
      </w:r>
      <w:r>
        <w:rPr>
          <w:webHidden/>
        </w:rPr>
        <w:fldChar w:fldCharType="end"/>
      </w:r>
    </w:p>
    <w:p w14:paraId="7D95D9F7" w14:textId="046F3612" w:rsidR="002B3C3B" w:rsidRDefault="002B3C3B">
      <w:pPr>
        <w:pStyle w:val="TOC2"/>
        <w:rPr>
          <w:rFonts w:asciiTheme="minorHAnsi" w:eastAsiaTheme="minorEastAsia" w:hAnsiTheme="minorHAnsi"/>
          <w:kern w:val="2"/>
          <w:sz w:val="22"/>
          <w:lang w:eastAsia="en-AU"/>
          <w14:ligatures w14:val="standardContextual"/>
        </w:rPr>
      </w:pPr>
      <w:r>
        <w:t>Comparison of key features of new law and current law</w:t>
      </w:r>
      <w:r>
        <w:rPr>
          <w:webHidden/>
        </w:rPr>
        <w:tab/>
      </w:r>
      <w:r>
        <w:rPr>
          <w:webHidden/>
        </w:rPr>
        <w:fldChar w:fldCharType="begin"/>
      </w:r>
      <w:r>
        <w:rPr>
          <w:webHidden/>
        </w:rPr>
        <w:instrText xml:space="preserve"> PAGEREF _Toc177397313 \h </w:instrText>
      </w:r>
      <w:r>
        <w:rPr>
          <w:webHidden/>
        </w:rPr>
      </w:r>
      <w:r>
        <w:rPr>
          <w:webHidden/>
        </w:rPr>
        <w:fldChar w:fldCharType="separate"/>
      </w:r>
      <w:r w:rsidR="002E7611">
        <w:rPr>
          <w:webHidden/>
        </w:rPr>
        <w:t>4</w:t>
      </w:r>
      <w:r>
        <w:rPr>
          <w:webHidden/>
        </w:rPr>
        <w:fldChar w:fldCharType="end"/>
      </w:r>
    </w:p>
    <w:p w14:paraId="78D7E631" w14:textId="1A1E11F0" w:rsidR="002B3C3B" w:rsidRDefault="002B3C3B">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_Toc177397314 \h </w:instrText>
      </w:r>
      <w:r>
        <w:rPr>
          <w:webHidden/>
        </w:rPr>
      </w:r>
      <w:r>
        <w:rPr>
          <w:webHidden/>
        </w:rPr>
        <w:fldChar w:fldCharType="separate"/>
      </w:r>
      <w:r w:rsidR="002E7611">
        <w:rPr>
          <w:webHidden/>
        </w:rPr>
        <w:t>6</w:t>
      </w:r>
      <w:r>
        <w:rPr>
          <w:webHidden/>
        </w:rPr>
        <w:fldChar w:fldCharType="end"/>
      </w:r>
    </w:p>
    <w:p w14:paraId="0DA6E39C" w14:textId="1866645D" w:rsidR="002B3C3B" w:rsidRDefault="002B3C3B">
      <w:pPr>
        <w:pStyle w:val="TOC3"/>
        <w:rPr>
          <w:rFonts w:asciiTheme="minorHAnsi" w:eastAsiaTheme="minorEastAsia" w:hAnsiTheme="minorHAnsi" w:cstheme="minorBidi"/>
          <w:iCs w:val="0"/>
          <w:noProof/>
          <w:kern w:val="2"/>
          <w:sz w:val="22"/>
          <w:szCs w:val="22"/>
          <w:lang w:eastAsia="en-AU"/>
          <w14:ligatures w14:val="standardContextual"/>
        </w:rPr>
      </w:pPr>
      <w:r>
        <w:rPr>
          <w:noProof/>
        </w:rPr>
        <w:t>Penalty to be specified in an infringement notice</w:t>
      </w:r>
      <w:r>
        <w:rPr>
          <w:noProof/>
          <w:webHidden/>
        </w:rPr>
        <w:tab/>
      </w:r>
      <w:r>
        <w:rPr>
          <w:noProof/>
          <w:webHidden/>
        </w:rPr>
        <w:fldChar w:fldCharType="begin"/>
      </w:r>
      <w:r>
        <w:rPr>
          <w:noProof/>
          <w:webHidden/>
        </w:rPr>
        <w:instrText xml:space="preserve"> PAGEREF _Toc177397315 \h </w:instrText>
      </w:r>
      <w:r>
        <w:rPr>
          <w:noProof/>
          <w:webHidden/>
        </w:rPr>
      </w:r>
      <w:r>
        <w:rPr>
          <w:noProof/>
          <w:webHidden/>
        </w:rPr>
        <w:fldChar w:fldCharType="separate"/>
      </w:r>
      <w:r w:rsidR="002E7611">
        <w:rPr>
          <w:noProof/>
          <w:webHidden/>
        </w:rPr>
        <w:t>6</w:t>
      </w:r>
      <w:r>
        <w:rPr>
          <w:noProof/>
          <w:webHidden/>
        </w:rPr>
        <w:fldChar w:fldCharType="end"/>
      </w:r>
    </w:p>
    <w:p w14:paraId="56768A3F" w14:textId="45BB452A" w:rsidR="002B3C3B" w:rsidRDefault="002B3C3B">
      <w:pPr>
        <w:pStyle w:val="TOC3"/>
        <w:rPr>
          <w:rFonts w:asciiTheme="minorHAnsi" w:eastAsiaTheme="minorEastAsia" w:hAnsiTheme="minorHAnsi" w:cstheme="minorBidi"/>
          <w:iCs w:val="0"/>
          <w:noProof/>
          <w:kern w:val="2"/>
          <w:sz w:val="22"/>
          <w:szCs w:val="22"/>
          <w:lang w:eastAsia="en-AU"/>
          <w14:ligatures w14:val="standardContextual"/>
        </w:rPr>
      </w:pPr>
      <w:r>
        <w:rPr>
          <w:noProof/>
        </w:rPr>
        <w:t>Maximum penalty for breach of civil penalty provision—industry of food and groceries</w:t>
      </w:r>
      <w:r>
        <w:rPr>
          <w:noProof/>
          <w:webHidden/>
        </w:rPr>
        <w:tab/>
      </w:r>
      <w:r>
        <w:rPr>
          <w:noProof/>
          <w:webHidden/>
        </w:rPr>
        <w:fldChar w:fldCharType="begin"/>
      </w:r>
      <w:r>
        <w:rPr>
          <w:noProof/>
          <w:webHidden/>
        </w:rPr>
        <w:instrText xml:space="preserve"> PAGEREF _Toc177397316 \h </w:instrText>
      </w:r>
      <w:r>
        <w:rPr>
          <w:noProof/>
          <w:webHidden/>
        </w:rPr>
      </w:r>
      <w:r>
        <w:rPr>
          <w:noProof/>
          <w:webHidden/>
        </w:rPr>
        <w:fldChar w:fldCharType="separate"/>
      </w:r>
      <w:r w:rsidR="002E7611">
        <w:rPr>
          <w:noProof/>
          <w:webHidden/>
        </w:rPr>
        <w:t>8</w:t>
      </w:r>
      <w:r>
        <w:rPr>
          <w:noProof/>
          <w:webHidden/>
        </w:rPr>
        <w:fldChar w:fldCharType="end"/>
      </w:r>
    </w:p>
    <w:p w14:paraId="1CA28408" w14:textId="466EA3E4" w:rsidR="002B3C3B" w:rsidRDefault="002B3C3B">
      <w:pPr>
        <w:pStyle w:val="TOC3"/>
        <w:rPr>
          <w:rFonts w:asciiTheme="minorHAnsi" w:eastAsiaTheme="minorEastAsia" w:hAnsiTheme="minorHAnsi" w:cstheme="minorBidi"/>
          <w:iCs w:val="0"/>
          <w:noProof/>
          <w:kern w:val="2"/>
          <w:sz w:val="22"/>
          <w:szCs w:val="22"/>
          <w:lang w:eastAsia="en-AU"/>
          <w14:ligatures w14:val="standardContextual"/>
        </w:rPr>
      </w:pPr>
      <w:r>
        <w:rPr>
          <w:noProof/>
        </w:rPr>
        <w:t>Conferral of functions and powers on persons</w:t>
      </w:r>
      <w:r>
        <w:rPr>
          <w:noProof/>
          <w:webHidden/>
        </w:rPr>
        <w:tab/>
      </w:r>
      <w:r>
        <w:rPr>
          <w:noProof/>
          <w:webHidden/>
        </w:rPr>
        <w:fldChar w:fldCharType="begin"/>
      </w:r>
      <w:r>
        <w:rPr>
          <w:noProof/>
          <w:webHidden/>
        </w:rPr>
        <w:instrText xml:space="preserve"> PAGEREF _Toc177397317 \h </w:instrText>
      </w:r>
      <w:r>
        <w:rPr>
          <w:noProof/>
          <w:webHidden/>
        </w:rPr>
      </w:r>
      <w:r>
        <w:rPr>
          <w:noProof/>
          <w:webHidden/>
        </w:rPr>
        <w:fldChar w:fldCharType="separate"/>
      </w:r>
      <w:r w:rsidR="002E7611">
        <w:rPr>
          <w:noProof/>
          <w:webHidden/>
        </w:rPr>
        <w:t>10</w:t>
      </w:r>
      <w:r>
        <w:rPr>
          <w:noProof/>
          <w:webHidden/>
        </w:rPr>
        <w:fldChar w:fldCharType="end"/>
      </w:r>
    </w:p>
    <w:p w14:paraId="21AFE506" w14:textId="0DD42320" w:rsidR="002B3C3B" w:rsidRDefault="002B3C3B">
      <w:pPr>
        <w:pStyle w:val="TOC2"/>
        <w:rPr>
          <w:rFonts w:asciiTheme="minorHAnsi" w:eastAsiaTheme="minorEastAsia" w:hAnsiTheme="minorHAnsi"/>
          <w:kern w:val="2"/>
          <w:sz w:val="22"/>
          <w:lang w:eastAsia="en-AU"/>
          <w14:ligatures w14:val="standardContextual"/>
        </w:rPr>
      </w:pPr>
      <w:r>
        <w:t>Consequential amendments</w:t>
      </w:r>
      <w:r>
        <w:rPr>
          <w:webHidden/>
        </w:rPr>
        <w:tab/>
      </w:r>
      <w:r>
        <w:rPr>
          <w:webHidden/>
        </w:rPr>
        <w:fldChar w:fldCharType="begin"/>
      </w:r>
      <w:r>
        <w:rPr>
          <w:webHidden/>
        </w:rPr>
        <w:instrText xml:space="preserve"> PAGEREF _Toc177397318 \h </w:instrText>
      </w:r>
      <w:r>
        <w:rPr>
          <w:webHidden/>
        </w:rPr>
      </w:r>
      <w:r>
        <w:rPr>
          <w:webHidden/>
        </w:rPr>
        <w:fldChar w:fldCharType="separate"/>
      </w:r>
      <w:r w:rsidR="002E7611">
        <w:rPr>
          <w:webHidden/>
        </w:rPr>
        <w:t>10</w:t>
      </w:r>
      <w:r>
        <w:rPr>
          <w:webHidden/>
        </w:rPr>
        <w:fldChar w:fldCharType="end"/>
      </w:r>
    </w:p>
    <w:p w14:paraId="73F1E0E8" w14:textId="1F395A4B" w:rsidR="002B3C3B" w:rsidRDefault="002B3C3B">
      <w:pPr>
        <w:pStyle w:val="TOC2"/>
        <w:rPr>
          <w:rFonts w:asciiTheme="minorHAnsi" w:eastAsiaTheme="minorEastAsia" w:hAnsiTheme="minorHAnsi"/>
          <w:kern w:val="2"/>
          <w:sz w:val="22"/>
          <w:lang w:eastAsia="en-AU"/>
          <w14:ligatures w14:val="standardContextual"/>
        </w:rPr>
      </w:pPr>
      <w:r>
        <w:t>Commencement and application provisions</w:t>
      </w:r>
      <w:r>
        <w:rPr>
          <w:webHidden/>
        </w:rPr>
        <w:tab/>
      </w:r>
      <w:r>
        <w:rPr>
          <w:webHidden/>
        </w:rPr>
        <w:fldChar w:fldCharType="begin"/>
      </w:r>
      <w:r>
        <w:rPr>
          <w:webHidden/>
        </w:rPr>
        <w:instrText xml:space="preserve"> PAGEREF _Toc177397319 \h </w:instrText>
      </w:r>
      <w:r>
        <w:rPr>
          <w:webHidden/>
        </w:rPr>
      </w:r>
      <w:r>
        <w:rPr>
          <w:webHidden/>
        </w:rPr>
        <w:fldChar w:fldCharType="separate"/>
      </w:r>
      <w:r w:rsidR="002E7611">
        <w:rPr>
          <w:webHidden/>
        </w:rPr>
        <w:t>11</w:t>
      </w:r>
      <w:r>
        <w:rPr>
          <w:webHidden/>
        </w:rPr>
        <w:fldChar w:fldCharType="end"/>
      </w:r>
    </w:p>
    <w:p w14:paraId="08A3909B" w14:textId="214E1A4C" w:rsidR="00EE3E3E" w:rsidRPr="00D4358C" w:rsidRDefault="00EE3E3E" w:rsidP="00EE3E3E">
      <w:r>
        <w:fldChar w:fldCharType="end"/>
      </w:r>
    </w:p>
    <w:p w14:paraId="5A594674" w14:textId="7621D253" w:rsidR="00EE3E3E" w:rsidRPr="00020288" w:rsidRDefault="00EE3E3E" w:rsidP="00EE3E3E">
      <w:pPr>
        <w:pStyle w:val="Heading2"/>
      </w:pPr>
      <w:bookmarkStart w:id="44" w:name="_Toc177397311"/>
      <w:r w:rsidRPr="00020288">
        <w:t xml:space="preserve">Outline </w:t>
      </w:r>
      <w:r w:rsidRPr="005D0844">
        <w:t>of</w:t>
      </w:r>
      <w:r w:rsidRPr="00020288">
        <w:t xml:space="preserve"> chapter</w:t>
      </w:r>
      <w:bookmarkEnd w:id="44"/>
    </w:p>
    <w:p w14:paraId="6537456A" w14:textId="74219964" w:rsidR="00DB595E" w:rsidRDefault="00EE3E3E" w:rsidP="00EE3E3E">
      <w:pPr>
        <w:pStyle w:val="Normalparatextwithnumbers"/>
        <w:numPr>
          <w:ilvl w:val="1"/>
          <w:numId w:val="6"/>
        </w:numPr>
      </w:pPr>
      <w:bookmarkStart w:id="45" w:name="_Hlk175236776"/>
      <w:r>
        <w:t xml:space="preserve">Schedule 1 to the Bill amends Part IVB of the </w:t>
      </w:r>
      <w:r w:rsidR="00691A95">
        <w:t>CCA</w:t>
      </w:r>
      <w:r w:rsidR="000C498E" w:rsidRPr="000C498E">
        <w:t xml:space="preserve"> </w:t>
      </w:r>
      <w:r w:rsidRPr="000C498E">
        <w:t>to</w:t>
      </w:r>
      <w:r w:rsidR="00DB595E" w:rsidRPr="000C498E">
        <w:t>:</w:t>
      </w:r>
      <w:r>
        <w:t xml:space="preserve"> </w:t>
      </w:r>
    </w:p>
    <w:p w14:paraId="465395AD" w14:textId="7110F13C" w:rsidR="008B7B70" w:rsidRDefault="00EE3E3E" w:rsidP="00DB595E">
      <w:pPr>
        <w:pStyle w:val="Dotpoint1"/>
        <w:ind w:left="1418" w:hanging="709"/>
      </w:pPr>
      <w:r>
        <w:t xml:space="preserve">increase </w:t>
      </w:r>
      <w:r w:rsidR="00602E1E">
        <w:t xml:space="preserve">the </w:t>
      </w:r>
      <w:r>
        <w:t>penalt</w:t>
      </w:r>
      <w:r w:rsidR="00602E1E">
        <w:t>y</w:t>
      </w:r>
      <w:r>
        <w:t xml:space="preserve"> to be specified in infringement notices issued in relation to </w:t>
      </w:r>
      <w:r w:rsidR="00602E1E">
        <w:t xml:space="preserve">an alleged contravention </w:t>
      </w:r>
      <w:r w:rsidR="00FA087A">
        <w:t>of</w:t>
      </w:r>
      <w:r w:rsidR="00122779">
        <w:t xml:space="preserve"> a civil penalty provision</w:t>
      </w:r>
      <w:r w:rsidR="008B7B70">
        <w:t>:</w:t>
      </w:r>
      <w:r w:rsidR="00FA087A">
        <w:t xml:space="preserve"> </w:t>
      </w:r>
    </w:p>
    <w:p w14:paraId="7ED63FFB" w14:textId="55533FCA" w:rsidR="008B7B70" w:rsidRDefault="00122779" w:rsidP="00872856">
      <w:pPr>
        <w:pStyle w:val="Dotpoint1"/>
        <w:numPr>
          <w:ilvl w:val="1"/>
          <w:numId w:val="8"/>
        </w:numPr>
        <w:ind w:left="1985" w:hanging="567"/>
      </w:pPr>
      <w:r>
        <w:t xml:space="preserve">of </w:t>
      </w:r>
      <w:r w:rsidR="008B7B70">
        <w:t xml:space="preserve">an industry code </w:t>
      </w:r>
      <w:r w:rsidR="00FA087A">
        <w:t>that relates to the industry of food and grocerie</w:t>
      </w:r>
      <w:r w:rsidR="008B7B70">
        <w:t>s</w:t>
      </w:r>
      <w:r w:rsidR="00EE1E50">
        <w:t xml:space="preserve"> (</w:t>
      </w:r>
      <w:r w:rsidR="005C4C12">
        <w:t xml:space="preserve">and </w:t>
      </w:r>
      <w:r w:rsidR="00D33ACA">
        <w:t>that</w:t>
      </w:r>
      <w:r w:rsidR="00EE1E50">
        <w:t xml:space="preserve"> states that the </w:t>
      </w:r>
      <w:r w:rsidR="0009454C">
        <w:t>relevant enabling provision</w:t>
      </w:r>
      <w:r w:rsidR="00EE1E50">
        <w:t xml:space="preserve"> applies)</w:t>
      </w:r>
      <w:r w:rsidR="008B7B70" w:rsidRPr="008B7B70">
        <w:t>—</w:t>
      </w:r>
      <w:r w:rsidR="00774751">
        <w:t xml:space="preserve">to 600 </w:t>
      </w:r>
      <w:r w:rsidR="00FA087A">
        <w:t xml:space="preserve">penalty units for a body corporate and 120 penalty units </w:t>
      </w:r>
      <w:r w:rsidR="00EF5358">
        <w:t>otherwise</w:t>
      </w:r>
      <w:r w:rsidR="00FA087A">
        <w:t xml:space="preserve">, and </w:t>
      </w:r>
    </w:p>
    <w:p w14:paraId="599AE9C9" w14:textId="2E60F1BF" w:rsidR="00DB595E" w:rsidRDefault="00122779" w:rsidP="00872856">
      <w:pPr>
        <w:pStyle w:val="Dotpoint1"/>
        <w:numPr>
          <w:ilvl w:val="1"/>
          <w:numId w:val="8"/>
        </w:numPr>
        <w:ind w:left="1985" w:hanging="567"/>
      </w:pPr>
      <w:r>
        <w:t>of any</w:t>
      </w:r>
      <w:r w:rsidR="00FA087A">
        <w:t xml:space="preserve"> other industry code</w:t>
      </w:r>
      <w:r w:rsidR="008B7B70" w:rsidRPr="008B7B70">
        <w:t>—</w:t>
      </w:r>
      <w:r w:rsidR="00FA087A">
        <w:t xml:space="preserve">to 60 penalty units for a body corporate and 12 penalty units </w:t>
      </w:r>
      <w:proofErr w:type="gramStart"/>
      <w:r w:rsidR="00EF5358">
        <w:t>otherwise</w:t>
      </w:r>
      <w:r w:rsidR="00DB595E">
        <w:t>;</w:t>
      </w:r>
      <w:proofErr w:type="gramEnd"/>
      <w:r w:rsidR="00EE3E3E">
        <w:t xml:space="preserve"> </w:t>
      </w:r>
    </w:p>
    <w:p w14:paraId="21032A3E" w14:textId="30089A20" w:rsidR="00DB595E" w:rsidRDefault="00EE3E3E" w:rsidP="00DB595E">
      <w:pPr>
        <w:pStyle w:val="Dotpoint1"/>
        <w:ind w:left="1418" w:hanging="709"/>
      </w:pPr>
      <w:r>
        <w:t xml:space="preserve">increase </w:t>
      </w:r>
      <w:r w:rsidR="00DB595E">
        <w:t xml:space="preserve">the </w:t>
      </w:r>
      <w:r>
        <w:t>maximum penalt</w:t>
      </w:r>
      <w:r w:rsidR="00DB595E">
        <w:t>y</w:t>
      </w:r>
      <w:r w:rsidR="00C8179E">
        <w:t xml:space="preserve"> </w:t>
      </w:r>
      <w:r w:rsidR="004824C4">
        <w:t xml:space="preserve">for contravention of a civil penalty provision </w:t>
      </w:r>
      <w:r w:rsidR="00C8179E">
        <w:t>that may be prescribed in</w:t>
      </w:r>
      <w:r>
        <w:t xml:space="preserve"> </w:t>
      </w:r>
      <w:r w:rsidR="00C8179E">
        <w:t>an industry code relating to the industry of food and groceries</w:t>
      </w:r>
      <w:r>
        <w:t xml:space="preserve">, and </w:t>
      </w:r>
    </w:p>
    <w:p w14:paraId="2DF0B6B8" w14:textId="4E74ED97" w:rsidR="00EE3E3E" w:rsidRDefault="00EE3E3E" w:rsidP="00DB595E">
      <w:pPr>
        <w:pStyle w:val="Dotpoint1"/>
        <w:ind w:left="1418" w:hanging="709"/>
      </w:pPr>
      <w:r>
        <w:lastRenderedPageBreak/>
        <w:t>clarify the functions</w:t>
      </w:r>
      <w:r w:rsidR="00A03843">
        <w:t xml:space="preserve"> and powers</w:t>
      </w:r>
      <w:r>
        <w:t xml:space="preserve"> that may be conferred on </w:t>
      </w:r>
      <w:r w:rsidR="007F41A2">
        <w:t>persons</w:t>
      </w:r>
      <w:r>
        <w:t xml:space="preserve"> under</w:t>
      </w:r>
      <w:r w:rsidR="007F41A2">
        <w:t xml:space="preserve"> </w:t>
      </w:r>
      <w:r>
        <w:t>industry codes.</w:t>
      </w:r>
    </w:p>
    <w:bookmarkEnd w:id="45"/>
    <w:p w14:paraId="3FD71C00" w14:textId="34701034" w:rsidR="00066B96" w:rsidRPr="00066B96" w:rsidRDefault="000F2718" w:rsidP="00066B96">
      <w:pPr>
        <w:pStyle w:val="Normalparatextwithnumbers"/>
        <w:rPr>
          <w:color w:val="000000"/>
        </w:rPr>
      </w:pPr>
      <w:r>
        <w:rPr>
          <w:color w:val="000000"/>
        </w:rPr>
        <w:t>All r</w:t>
      </w:r>
      <w:r w:rsidR="00066B96" w:rsidRPr="00066B96">
        <w:rPr>
          <w:color w:val="000000"/>
        </w:rPr>
        <w:t>eferences</w:t>
      </w:r>
      <w:r>
        <w:rPr>
          <w:color w:val="000000"/>
        </w:rPr>
        <w:t xml:space="preserve"> in this Chapter</w:t>
      </w:r>
      <w:r w:rsidR="00066B96" w:rsidRPr="00066B96">
        <w:rPr>
          <w:color w:val="000000"/>
        </w:rPr>
        <w:t xml:space="preserve"> are to the CCA unless otherwise stated.</w:t>
      </w:r>
    </w:p>
    <w:p w14:paraId="0B256EC7" w14:textId="77777777" w:rsidR="00EE3E3E" w:rsidRDefault="00EE3E3E" w:rsidP="00EE3E3E">
      <w:pPr>
        <w:pStyle w:val="Heading2"/>
      </w:pPr>
      <w:bookmarkStart w:id="46" w:name="_Toc177397312"/>
      <w:r w:rsidRPr="00020288">
        <w:t xml:space="preserve">Context of </w:t>
      </w:r>
      <w:r w:rsidRPr="005D0844">
        <w:t>amendments</w:t>
      </w:r>
      <w:bookmarkEnd w:id="46"/>
    </w:p>
    <w:p w14:paraId="361780DD" w14:textId="77777777" w:rsidR="00EE3E3E" w:rsidRPr="0024430B" w:rsidRDefault="00EE3E3E" w:rsidP="00EE3E3E">
      <w:pPr>
        <w:pStyle w:val="Heading5"/>
      </w:pPr>
      <w:r>
        <w:t>Background</w:t>
      </w:r>
    </w:p>
    <w:p w14:paraId="377D4913" w14:textId="060B892C" w:rsidR="00EA5637" w:rsidRDefault="00EA5637" w:rsidP="00EA5637">
      <w:pPr>
        <w:pStyle w:val="Normalparatextwithnumbers"/>
      </w:pPr>
      <w:r>
        <w:t>Part IVB establishes the statutory framework for the operation of industry codes.</w:t>
      </w:r>
      <w:r w:rsidR="0080326A">
        <w:t xml:space="preserve"> I</w:t>
      </w:r>
      <w:r>
        <w:t>ndustry code</w:t>
      </w:r>
      <w:r w:rsidR="0080326A">
        <w:t>s</w:t>
      </w:r>
      <w:r w:rsidR="00936EDA">
        <w:t>, prescribed in regulations,</w:t>
      </w:r>
      <w:r w:rsidR="00FD7D65">
        <w:t xml:space="preserve"> </w:t>
      </w:r>
      <w:r>
        <w:t>regulate the conduct of participants in an industry towards other participants</w:t>
      </w:r>
      <w:r w:rsidR="00FD7FE3">
        <w:t xml:space="preserve"> or consumers</w:t>
      </w:r>
      <w:r>
        <w:t xml:space="preserve"> in the </w:t>
      </w:r>
      <w:r w:rsidR="00936EDA">
        <w:t>industry and</w:t>
      </w:r>
      <w:r w:rsidR="000A5DDF">
        <w:t xml:space="preserve"> generally </w:t>
      </w:r>
      <w:r w:rsidR="00754664" w:rsidRPr="00754664">
        <w:t>address imbalances in market power</w:t>
      </w:r>
      <w:r w:rsidR="00754664">
        <w:t>.</w:t>
      </w:r>
    </w:p>
    <w:p w14:paraId="6BE4E6D7" w14:textId="27006275" w:rsidR="00ED25C4" w:rsidRDefault="00E94821" w:rsidP="000760A8">
      <w:pPr>
        <w:pStyle w:val="Normalparatextwithnumbers"/>
      </w:pPr>
      <w:r w:rsidRPr="00D50C3A">
        <w:t xml:space="preserve">The </w:t>
      </w:r>
      <w:r w:rsidR="00617A68">
        <w:t xml:space="preserve">Food and </w:t>
      </w:r>
      <w:r w:rsidRPr="00D50C3A">
        <w:t xml:space="preserve">Grocery Code </w:t>
      </w:r>
      <w:r>
        <w:t>was</w:t>
      </w:r>
      <w:r w:rsidR="00CB2D28">
        <w:t xml:space="preserve"> made </w:t>
      </w:r>
      <w:r w:rsidR="000C468F">
        <w:t xml:space="preserve">in 2015 </w:t>
      </w:r>
      <w:r>
        <w:t xml:space="preserve">to improve standards of business behaviour in the food and grocery sector. </w:t>
      </w:r>
      <w:r w:rsidR="002C7FCF">
        <w:t>I</w:t>
      </w:r>
      <w:r w:rsidR="00056466">
        <w:t>t</w:t>
      </w:r>
      <w:r w:rsidR="009A0044">
        <w:t xml:space="preserve"> is a voluntary industry code,</w:t>
      </w:r>
      <w:r w:rsidR="003576FA">
        <w:t xml:space="preserve"> </w:t>
      </w:r>
      <w:r w:rsidR="009340CD">
        <w:t>so</w:t>
      </w:r>
      <w:r w:rsidR="003576FA">
        <w:t xml:space="preserve"> </w:t>
      </w:r>
      <w:r w:rsidR="007540BF">
        <w:t>participants</w:t>
      </w:r>
      <w:r w:rsidR="009340CD">
        <w:t xml:space="preserve"> (retailers and wholesalers) </w:t>
      </w:r>
      <w:r w:rsidR="009A0044">
        <w:t xml:space="preserve">must agree to be bound. </w:t>
      </w:r>
      <w:r w:rsidR="007540BF">
        <w:t xml:space="preserve">The </w:t>
      </w:r>
      <w:r w:rsidR="00617A68">
        <w:t xml:space="preserve">Food and </w:t>
      </w:r>
      <w:r w:rsidR="007540BF">
        <w:t>Grocery Code</w:t>
      </w:r>
      <w:r w:rsidR="002E1E47">
        <w:t xml:space="preserve"> </w:t>
      </w:r>
      <w:r w:rsidR="00A450DE">
        <w:t>has no civil penalty provisions</w:t>
      </w:r>
      <w:r w:rsidR="002D472F">
        <w:t xml:space="preserve"> and infringement</w:t>
      </w:r>
      <w:r w:rsidR="00CA1E21">
        <w:t xml:space="preserve"> notices cannot be issued</w:t>
      </w:r>
      <w:r w:rsidR="002D472F">
        <w:t>.</w:t>
      </w:r>
      <w:r w:rsidR="001D730A">
        <w:t xml:space="preserve"> </w:t>
      </w:r>
    </w:p>
    <w:p w14:paraId="6AB8122C" w14:textId="5E8618B3" w:rsidR="00253BAD" w:rsidRDefault="00056466">
      <w:pPr>
        <w:pStyle w:val="Normalparatextwithnumbers"/>
      </w:pPr>
      <w:r w:rsidRPr="001D730A">
        <w:t xml:space="preserve">The </w:t>
      </w:r>
      <w:r w:rsidR="00617A68">
        <w:t xml:space="preserve">Food and </w:t>
      </w:r>
      <w:r w:rsidRPr="001D730A">
        <w:t>Grocery Code</w:t>
      </w:r>
      <w:r w:rsidR="00C75DD7">
        <w:t xml:space="preserve"> </w:t>
      </w:r>
      <w:r>
        <w:t>is due to sunset on 1 April 2025</w:t>
      </w:r>
      <w:r w:rsidR="000666E1">
        <w:t xml:space="preserve"> in accordance with the </w:t>
      </w:r>
      <w:r w:rsidR="00BC4663" w:rsidRPr="00BC4663">
        <w:rPr>
          <w:i/>
          <w:iCs/>
        </w:rPr>
        <w:t>Legislation</w:t>
      </w:r>
      <w:r w:rsidR="000666E1" w:rsidRPr="00BC4663">
        <w:rPr>
          <w:i/>
          <w:iCs/>
        </w:rPr>
        <w:t xml:space="preserve"> Act </w:t>
      </w:r>
      <w:r w:rsidR="00BC4663" w:rsidRPr="00BC4663">
        <w:rPr>
          <w:i/>
          <w:iCs/>
        </w:rPr>
        <w:t>2003</w:t>
      </w:r>
      <w:r>
        <w:t xml:space="preserve">. </w:t>
      </w:r>
      <w:r w:rsidR="000760A8">
        <w:t xml:space="preserve">In January 2024, the Government </w:t>
      </w:r>
      <w:r w:rsidR="00A92286">
        <w:t>announced</w:t>
      </w:r>
      <w:r w:rsidR="000760A8">
        <w:t xml:space="preserve"> the</w:t>
      </w:r>
      <w:r w:rsidR="00F85747">
        <w:t xml:space="preserve"> appointment of Dr Craig Emerson to lead the</w:t>
      </w:r>
      <w:r w:rsidR="00617A68" w:rsidRPr="00617A68">
        <w:t xml:space="preserve"> </w:t>
      </w:r>
      <w:r w:rsidR="00617A68">
        <w:t>Food and</w:t>
      </w:r>
      <w:r w:rsidR="000760A8">
        <w:t xml:space="preserve"> Grocery </w:t>
      </w:r>
      <w:r w:rsidR="00C75DD7">
        <w:t xml:space="preserve">Code </w:t>
      </w:r>
      <w:r w:rsidR="000760A8">
        <w:t>Review</w:t>
      </w:r>
      <w:r w:rsidR="007D1C3D">
        <w:t xml:space="preserve">. The </w:t>
      </w:r>
      <w:r w:rsidR="00617A68">
        <w:t xml:space="preserve">Food and </w:t>
      </w:r>
      <w:r w:rsidR="007D1C3D">
        <w:t xml:space="preserve">Grocery </w:t>
      </w:r>
      <w:r w:rsidR="00C75DD7">
        <w:t xml:space="preserve">Code </w:t>
      </w:r>
      <w:r w:rsidR="007D1C3D">
        <w:t>Review</w:t>
      </w:r>
      <w:r w:rsidR="000760A8">
        <w:t xml:space="preserve"> </w:t>
      </w:r>
      <w:r w:rsidR="00CF0186" w:rsidRPr="00CF0186">
        <w:t>examin</w:t>
      </w:r>
      <w:r w:rsidR="00CF0186">
        <w:t>e</w:t>
      </w:r>
      <w:r w:rsidR="007D1C3D">
        <w:t>d</w:t>
      </w:r>
      <w:r w:rsidR="00CF0186" w:rsidRPr="00CF0186">
        <w:t xml:space="preserve"> whether the</w:t>
      </w:r>
      <w:r w:rsidR="00617A68" w:rsidRPr="00617A68">
        <w:t xml:space="preserve"> </w:t>
      </w:r>
      <w:r w:rsidR="00617A68">
        <w:t>Food and</w:t>
      </w:r>
      <w:r w:rsidR="00CF0186" w:rsidRPr="00CF0186">
        <w:t xml:space="preserve"> </w:t>
      </w:r>
      <w:r w:rsidR="00CF0186">
        <w:t xml:space="preserve">Grocery </w:t>
      </w:r>
      <w:r w:rsidR="00CF0186" w:rsidRPr="00CF0186">
        <w:t xml:space="preserve">Code </w:t>
      </w:r>
      <w:r w:rsidR="00CF0186">
        <w:t>wa</w:t>
      </w:r>
      <w:r w:rsidR="00CF0186" w:rsidRPr="00CF0186">
        <w:t>s effective</w:t>
      </w:r>
      <w:r w:rsidR="00CF0186">
        <w:t>,</w:t>
      </w:r>
      <w:r w:rsidR="00CF0186" w:rsidRPr="00CF0186">
        <w:t xml:space="preserve"> how it could </w:t>
      </w:r>
      <w:r w:rsidR="00731F50">
        <w:t>address the imbalance in market power between supermarkets and their suppliers</w:t>
      </w:r>
      <w:r w:rsidR="00731F50" w:rsidRPr="00CF0186">
        <w:t xml:space="preserve"> </w:t>
      </w:r>
      <w:r w:rsidR="00731F50">
        <w:t>and</w:t>
      </w:r>
      <w:r w:rsidR="00687BAC">
        <w:t xml:space="preserve"> how it could</w:t>
      </w:r>
      <w:r w:rsidR="00731F50">
        <w:t xml:space="preserve"> </w:t>
      </w:r>
      <w:r w:rsidR="00CF0186" w:rsidRPr="00CF0186">
        <w:t>better serve Australian families and farmer</w:t>
      </w:r>
      <w:r w:rsidR="00CF0186">
        <w:t xml:space="preserve">s. </w:t>
      </w:r>
    </w:p>
    <w:p w14:paraId="3F336FCF" w14:textId="710063EA" w:rsidR="001F4BAD" w:rsidRDefault="001F4BAD" w:rsidP="009F6BF3">
      <w:pPr>
        <w:pStyle w:val="Normalparatextwithnumbers"/>
      </w:pPr>
      <w:r>
        <w:t>A consultation paper was released on 5 February 2024</w:t>
      </w:r>
      <w:r w:rsidR="009F6BF3">
        <w:t xml:space="preserve">, with </w:t>
      </w:r>
      <w:r>
        <w:t>51 submissions received.</w:t>
      </w:r>
      <w:r w:rsidR="009F6BF3">
        <w:t xml:space="preserve"> </w:t>
      </w:r>
      <w:r w:rsidR="009D2F1E">
        <w:t>The I</w:t>
      </w:r>
      <w:r>
        <w:t xml:space="preserve">nterim </w:t>
      </w:r>
      <w:r w:rsidR="009D2F1E">
        <w:t>R</w:t>
      </w:r>
      <w:r>
        <w:t xml:space="preserve">eport </w:t>
      </w:r>
      <w:r w:rsidR="009D2F1E">
        <w:t xml:space="preserve">of the </w:t>
      </w:r>
      <w:r w:rsidR="00617A68">
        <w:t xml:space="preserve">Food and </w:t>
      </w:r>
      <w:r w:rsidR="009D2F1E">
        <w:t xml:space="preserve">Grocery Code Review </w:t>
      </w:r>
      <w:r>
        <w:t>was published on 8 April 2024</w:t>
      </w:r>
      <w:r w:rsidR="007D5E2D">
        <w:t xml:space="preserve">, </w:t>
      </w:r>
      <w:r w:rsidR="00134E8E">
        <w:t>and</w:t>
      </w:r>
      <w:r>
        <w:t xml:space="preserve"> made several recommendations including making the </w:t>
      </w:r>
      <w:r w:rsidR="00617A68">
        <w:t xml:space="preserve">Food and </w:t>
      </w:r>
      <w:r w:rsidR="00BA0750">
        <w:t xml:space="preserve">Grocery </w:t>
      </w:r>
      <w:r>
        <w:t>Code mandatory with h</w:t>
      </w:r>
      <w:r w:rsidR="00991D83">
        <w:t>igher</w:t>
      </w:r>
      <w:r w:rsidR="006628BD">
        <w:t xml:space="preserve"> </w:t>
      </w:r>
      <w:r>
        <w:t xml:space="preserve">penalties. </w:t>
      </w:r>
      <w:r w:rsidR="00C60E90">
        <w:t>Thirty</w:t>
      </w:r>
      <w:r w:rsidR="00453F2D">
        <w:noBreakHyphen/>
      </w:r>
      <w:r w:rsidR="00C60E90">
        <w:t>seven</w:t>
      </w:r>
      <w:r w:rsidR="00F71793">
        <w:t xml:space="preserve"> </w:t>
      </w:r>
      <w:r>
        <w:t xml:space="preserve">submissions were received for this consultation. </w:t>
      </w:r>
    </w:p>
    <w:p w14:paraId="71B78B2E" w14:textId="02AEB08A" w:rsidR="00EA5637" w:rsidRDefault="000760A8" w:rsidP="00E0430C">
      <w:pPr>
        <w:pStyle w:val="Normalparatextwithnumbers"/>
      </w:pPr>
      <w:r>
        <w:t xml:space="preserve">The </w:t>
      </w:r>
      <w:r w:rsidR="00A34B99">
        <w:t xml:space="preserve">Final Report of the </w:t>
      </w:r>
      <w:r w:rsidR="00617A68">
        <w:t xml:space="preserve">Food and </w:t>
      </w:r>
      <w:r w:rsidR="005A24FD">
        <w:t xml:space="preserve">Grocery </w:t>
      </w:r>
      <w:r w:rsidR="00C75DD7">
        <w:t xml:space="preserve">Code </w:t>
      </w:r>
      <w:r w:rsidR="005A24FD">
        <w:t>R</w:t>
      </w:r>
      <w:r>
        <w:t>eview</w:t>
      </w:r>
      <w:r w:rsidR="0023482C">
        <w:t xml:space="preserve"> found that c</w:t>
      </w:r>
      <w:r w:rsidR="0023482C" w:rsidRPr="0066048D">
        <w:t>ompliance with the</w:t>
      </w:r>
      <w:r w:rsidR="0023482C">
        <w:t xml:space="preserve"> </w:t>
      </w:r>
      <w:r w:rsidR="00617A68">
        <w:t xml:space="preserve">Food and </w:t>
      </w:r>
      <w:r w:rsidR="0023482C">
        <w:t>Grocery</w:t>
      </w:r>
      <w:r w:rsidR="0023482C" w:rsidRPr="0066048D">
        <w:t xml:space="preserve"> Code is vital for the sustainability of suppliers’ businesses and therefore the welfare of Australian </w:t>
      </w:r>
      <w:r w:rsidR="00823CA4" w:rsidRPr="0066048D">
        <w:t>consumers</w:t>
      </w:r>
      <w:r w:rsidR="00821334">
        <w:t>,</w:t>
      </w:r>
      <w:r w:rsidR="00823CA4">
        <w:t xml:space="preserve"> and</w:t>
      </w:r>
      <w:r w:rsidR="0023482C">
        <w:t xml:space="preserve"> </w:t>
      </w:r>
      <w:r w:rsidR="00540EAB">
        <w:t xml:space="preserve">that the </w:t>
      </w:r>
      <w:r w:rsidR="00617A68">
        <w:t xml:space="preserve">Food and </w:t>
      </w:r>
      <w:r w:rsidR="00540EAB">
        <w:t xml:space="preserve">Grocery Code </w:t>
      </w:r>
      <w:r w:rsidR="00111586">
        <w:t xml:space="preserve">should </w:t>
      </w:r>
      <w:r w:rsidR="00540EAB">
        <w:t xml:space="preserve">be remade as a mandatory </w:t>
      </w:r>
      <w:r w:rsidR="00BC4663">
        <w:t xml:space="preserve">industry </w:t>
      </w:r>
      <w:r w:rsidR="00903680">
        <w:t xml:space="preserve">code </w:t>
      </w:r>
      <w:r w:rsidR="00B7174E" w:rsidRPr="00517BA0">
        <w:t>regulat</w:t>
      </w:r>
      <w:r w:rsidR="00B7174E">
        <w:t>ing</w:t>
      </w:r>
      <w:r w:rsidR="00BC4663" w:rsidRPr="00517BA0">
        <w:t xml:space="preserve"> wholesalers and retailers that meet </w:t>
      </w:r>
      <w:r w:rsidR="00BC4663">
        <w:t>a</w:t>
      </w:r>
      <w:r w:rsidR="00BC4663" w:rsidRPr="00517BA0">
        <w:t xml:space="preserve"> $5 billion annual turnover threshold.</w:t>
      </w:r>
      <w:r w:rsidR="00540EAB">
        <w:t xml:space="preserve"> </w:t>
      </w:r>
      <w:r w:rsidR="00520618">
        <w:t>T</w:t>
      </w:r>
      <w:r w:rsidR="00EA5637">
        <w:t xml:space="preserve">he </w:t>
      </w:r>
      <w:r w:rsidR="009E7A82">
        <w:t xml:space="preserve">Final Report of the </w:t>
      </w:r>
      <w:r w:rsidR="00617A68">
        <w:t xml:space="preserve">Food and </w:t>
      </w:r>
      <w:r w:rsidR="00EA5637">
        <w:t xml:space="preserve">Grocery </w:t>
      </w:r>
      <w:r w:rsidR="00C75DD7">
        <w:t xml:space="preserve">Code </w:t>
      </w:r>
      <w:r w:rsidR="00EA5637">
        <w:t xml:space="preserve">Review also </w:t>
      </w:r>
      <w:r w:rsidR="00520618">
        <w:t xml:space="preserve">relevantly </w:t>
      </w:r>
      <w:r w:rsidR="00EA5637">
        <w:t xml:space="preserve">recommended that: </w:t>
      </w:r>
    </w:p>
    <w:p w14:paraId="510A7F80" w14:textId="77777777" w:rsidR="00ED5D55" w:rsidRDefault="00ED5D55" w:rsidP="00ED5D55">
      <w:pPr>
        <w:pStyle w:val="Dotpoint1"/>
        <w:numPr>
          <w:ilvl w:val="0"/>
          <w:numId w:val="0"/>
        </w:numPr>
        <w:ind w:left="1418"/>
      </w:pPr>
    </w:p>
    <w:p w14:paraId="5904793E" w14:textId="77777777" w:rsidR="00ED5D55" w:rsidRDefault="00ED5D55" w:rsidP="00ED5D55">
      <w:pPr>
        <w:pStyle w:val="Dotpoint1"/>
        <w:numPr>
          <w:ilvl w:val="0"/>
          <w:numId w:val="0"/>
        </w:numPr>
        <w:ind w:left="1418"/>
      </w:pPr>
    </w:p>
    <w:p w14:paraId="79B82BC2" w14:textId="1ACA2BF1" w:rsidR="00EA5637" w:rsidRDefault="00EA5637" w:rsidP="00E0430C">
      <w:pPr>
        <w:pStyle w:val="Dotpoint1"/>
        <w:ind w:left="1418" w:hanging="709"/>
      </w:pPr>
      <w:r>
        <w:lastRenderedPageBreak/>
        <w:t>the maximum penalties for more harmful breaches of the</w:t>
      </w:r>
      <w:r w:rsidR="00617A68" w:rsidRPr="00617A68">
        <w:t xml:space="preserve"> </w:t>
      </w:r>
      <w:r w:rsidR="00617A68">
        <w:t>Food and</w:t>
      </w:r>
      <w:r>
        <w:t xml:space="preserve"> Grocery Code should be</w:t>
      </w:r>
      <w:r w:rsidRPr="009A54EE">
        <w:t xml:space="preserve"> </w:t>
      </w:r>
      <w:r>
        <w:t>the greatest of $10 million, 3 times the benefit gained from the contravening conduct or, where the benefit cannot be determined,</w:t>
      </w:r>
      <w:r w:rsidR="00556759">
        <w:t xml:space="preserve"> and</w:t>
      </w:r>
      <w:r>
        <w:t xml:space="preserve"> 10 percent of turnover in the preceding 12 months. Maximum penalties for other breaches should be 3,200 penalty units, and</w:t>
      </w:r>
      <w:r w:rsidR="008F64BC">
        <w:t>,</w:t>
      </w:r>
    </w:p>
    <w:p w14:paraId="05B1EA94" w14:textId="6A2AE955" w:rsidR="009D2AF2" w:rsidRDefault="00EA5637" w:rsidP="00E0430C">
      <w:pPr>
        <w:pStyle w:val="Dotpoint1"/>
        <w:ind w:left="1418" w:hanging="709"/>
      </w:pPr>
      <w:r>
        <w:t xml:space="preserve">the penalty amount for infringement notices for contraventions of the </w:t>
      </w:r>
      <w:r w:rsidR="00617A68">
        <w:t xml:space="preserve">Food and </w:t>
      </w:r>
      <w:r>
        <w:t>Grocery Code should be 600 penalty units, an increase from 50 penalty units that otherwise applies for industry codes.</w:t>
      </w:r>
    </w:p>
    <w:p w14:paraId="1FFE2543" w14:textId="5390D077" w:rsidR="00CE7CE0" w:rsidRPr="00CE7CE0" w:rsidRDefault="00682560" w:rsidP="00682560">
      <w:pPr>
        <w:pStyle w:val="Normalparatextwithnumbers"/>
      </w:pPr>
      <w:r>
        <w:t xml:space="preserve">The Government agreed to </w:t>
      </w:r>
      <w:r w:rsidR="00872856">
        <w:t>both</w:t>
      </w:r>
      <w:r w:rsidR="00D64EBE">
        <w:t xml:space="preserve"> </w:t>
      </w:r>
      <w:r>
        <w:t xml:space="preserve">recommendations. </w:t>
      </w:r>
      <w:r w:rsidR="00BC4663">
        <w:t xml:space="preserve">Schedule 1 to the </w:t>
      </w:r>
      <w:r w:rsidR="009D2AF2">
        <w:t>Bill</w:t>
      </w:r>
      <w:r w:rsidR="009D2AF2" w:rsidRPr="0066048D">
        <w:t xml:space="preserve"> </w:t>
      </w:r>
      <w:r w:rsidR="009D2AF2">
        <w:t>is intended to</w:t>
      </w:r>
      <w:r w:rsidR="009D2AF2" w:rsidRPr="0066048D">
        <w:t xml:space="preserve"> </w:t>
      </w:r>
      <w:r w:rsidR="009D2AF2">
        <w:t>ensure</w:t>
      </w:r>
      <w:r w:rsidR="009D2AF2" w:rsidRPr="0066048D">
        <w:t xml:space="preserve"> </w:t>
      </w:r>
      <w:r w:rsidR="0058372F">
        <w:t xml:space="preserve">that </w:t>
      </w:r>
      <w:r w:rsidR="009D2AF2">
        <w:t>the maximum civil penalt</w:t>
      </w:r>
      <w:r w:rsidR="00562362">
        <w:t>ies</w:t>
      </w:r>
      <w:r w:rsidR="009D2AF2">
        <w:t xml:space="preserve"> </w:t>
      </w:r>
      <w:r w:rsidR="001940F4">
        <w:t>that may be prescribed in</w:t>
      </w:r>
      <w:r w:rsidR="009D2AF2">
        <w:t xml:space="preserve"> the </w:t>
      </w:r>
      <w:r w:rsidR="0058372F">
        <w:t xml:space="preserve">remade </w:t>
      </w:r>
      <w:r w:rsidR="00617A68">
        <w:t xml:space="preserve">Food and </w:t>
      </w:r>
      <w:r w:rsidR="009D2AF2">
        <w:t xml:space="preserve">Grocery Code </w:t>
      </w:r>
      <w:r w:rsidR="00562362">
        <w:t>are</w:t>
      </w:r>
      <w:r w:rsidR="008E7456" w:rsidRPr="0066048D">
        <w:t xml:space="preserve"> proportional to the size and turnover of the </w:t>
      </w:r>
      <w:r w:rsidR="007E2C00">
        <w:t>retailer</w:t>
      </w:r>
      <w:r w:rsidR="0009482F">
        <w:t xml:space="preserve">s </w:t>
      </w:r>
      <w:r w:rsidR="007E2C00">
        <w:t>or wholesaler</w:t>
      </w:r>
      <w:r w:rsidR="0009482F">
        <w:t xml:space="preserve">s </w:t>
      </w:r>
      <w:r w:rsidR="00260B66">
        <w:t xml:space="preserve">that are </w:t>
      </w:r>
      <w:r w:rsidR="0009482F">
        <w:t>proposed to be regulated,</w:t>
      </w:r>
      <w:r w:rsidR="007E2C00">
        <w:t xml:space="preserve"> </w:t>
      </w:r>
      <w:r w:rsidR="008E7456">
        <w:t>an</w:t>
      </w:r>
      <w:r w:rsidR="009C47C1">
        <w:t>d</w:t>
      </w:r>
      <w:r w:rsidR="008E7456">
        <w:t xml:space="preserve"> </w:t>
      </w:r>
      <w:r w:rsidR="004D167D">
        <w:t xml:space="preserve">sufficient to </w:t>
      </w:r>
      <w:r w:rsidR="009D2AF2" w:rsidRPr="0066048D">
        <w:t xml:space="preserve">provide a meaningful deterrent to poor behaviour, not just seen as a cost of doing business. </w:t>
      </w:r>
      <w:r w:rsidR="00BC4663">
        <w:t xml:space="preserve">The </w:t>
      </w:r>
      <w:r w:rsidR="008D082E">
        <w:t xml:space="preserve">new </w:t>
      </w:r>
      <w:r w:rsidR="00BC4663">
        <w:t>maximum penalt</w:t>
      </w:r>
      <w:r w:rsidR="00260B66">
        <w:t>ies</w:t>
      </w:r>
      <w:r w:rsidR="009D2AF2" w:rsidRPr="0066048D">
        <w:t xml:space="preserve"> </w:t>
      </w:r>
      <w:r w:rsidR="00684FE4">
        <w:t xml:space="preserve">for more harmful breaches </w:t>
      </w:r>
      <w:r w:rsidR="009D2AF2" w:rsidRPr="0066048D">
        <w:t>also align with existing maximum penalties under the CCA</w:t>
      </w:r>
      <w:r w:rsidR="00CE7CE0" w:rsidRPr="00CE7CE0">
        <w:t xml:space="preserve"> for an industry code that relates to the industry of franchising </w:t>
      </w:r>
      <w:r w:rsidR="00CE7CE0">
        <w:t>(a</w:t>
      </w:r>
      <w:r w:rsidR="00CE7CE0" w:rsidRPr="00CE7CE0">
        <w:t xml:space="preserve">s increased </w:t>
      </w:r>
      <w:r w:rsidR="008B28FD">
        <w:t xml:space="preserve">in 2021 </w:t>
      </w:r>
      <w:r w:rsidR="00CE7CE0" w:rsidRPr="00CE7CE0">
        <w:t xml:space="preserve">under the </w:t>
      </w:r>
      <w:r w:rsidR="00CE7CE0" w:rsidRPr="00682560">
        <w:rPr>
          <w:i/>
          <w:iCs/>
        </w:rPr>
        <w:t>Treasury Laws Amendment (2021 Measures No. 6) Act 2021</w:t>
      </w:r>
      <w:r w:rsidR="00CE7CE0">
        <w:t>).</w:t>
      </w:r>
    </w:p>
    <w:p w14:paraId="20544C1E" w14:textId="0D953F7D" w:rsidR="00EE3E3E" w:rsidRPr="00936667" w:rsidRDefault="00517BA0" w:rsidP="009C47C1">
      <w:pPr>
        <w:pStyle w:val="Normalparatextwithnumbers"/>
      </w:pPr>
      <w:r w:rsidRPr="00517BA0">
        <w:t>The proposed penalty for an infringement notice is necessary given the size and turnover of</w:t>
      </w:r>
      <w:r w:rsidR="007E2C00">
        <w:t xml:space="preserve"> the retailers</w:t>
      </w:r>
      <w:r w:rsidRPr="00517BA0">
        <w:t xml:space="preserve"> </w:t>
      </w:r>
      <w:r w:rsidR="007E2C00">
        <w:t xml:space="preserve">and wholesalers </w:t>
      </w:r>
      <w:r w:rsidRPr="00517BA0">
        <w:t xml:space="preserve">that </w:t>
      </w:r>
      <w:r w:rsidR="000C5819">
        <w:t>are proposed to be</w:t>
      </w:r>
      <w:r w:rsidRPr="00517BA0">
        <w:t xml:space="preserve"> regulated under the </w:t>
      </w:r>
      <w:r w:rsidR="007E2C00">
        <w:t xml:space="preserve">new </w:t>
      </w:r>
      <w:r w:rsidR="00617A68">
        <w:t xml:space="preserve">Food and </w:t>
      </w:r>
      <w:r w:rsidR="00086AB6">
        <w:t xml:space="preserve">Grocery </w:t>
      </w:r>
      <w:r w:rsidRPr="00517BA0">
        <w:t xml:space="preserve">Code. </w:t>
      </w:r>
    </w:p>
    <w:p w14:paraId="763DA9F7" w14:textId="64E8E4DF" w:rsidR="00086AB6" w:rsidRDefault="00086AB6" w:rsidP="00086AB6">
      <w:pPr>
        <w:pStyle w:val="Normalparatextwithnumbers"/>
      </w:pPr>
      <w:r>
        <w:t xml:space="preserve">The Franchising Code is a mandatory industry code </w:t>
      </w:r>
      <w:r w:rsidR="00B87FFC">
        <w:t xml:space="preserve">that </w:t>
      </w:r>
      <w:r w:rsidR="00EA0B2C">
        <w:t xml:space="preserve">aims to </w:t>
      </w:r>
      <w:r w:rsidR="00B87FFC" w:rsidRPr="00B87FFC">
        <w:t>promote confidence in the Australian Franchising Sector and improve the relationship between franchisees and franchisors</w:t>
      </w:r>
      <w:r w:rsidR="00B87FFC">
        <w:t>. Similarly to the</w:t>
      </w:r>
      <w:r w:rsidR="00617A68" w:rsidRPr="00617A68">
        <w:t xml:space="preserve"> </w:t>
      </w:r>
      <w:r w:rsidR="00617A68">
        <w:t>Food and</w:t>
      </w:r>
      <w:r w:rsidR="00B87FFC">
        <w:t xml:space="preserve"> Grocery Code, the Franchising Code</w:t>
      </w:r>
      <w:r w:rsidR="00EA0B2C">
        <w:t xml:space="preserve"> is due to</w:t>
      </w:r>
      <w:r w:rsidR="003051DD">
        <w:t xml:space="preserve"> sunse</w:t>
      </w:r>
      <w:r w:rsidR="00754664">
        <w:t>t on 1 April 2025</w:t>
      </w:r>
      <w:r w:rsidR="004A176F" w:rsidRPr="004A176F">
        <w:t xml:space="preserve"> in accordance with the </w:t>
      </w:r>
      <w:r w:rsidR="004A176F" w:rsidRPr="004A176F">
        <w:rPr>
          <w:i/>
          <w:iCs/>
        </w:rPr>
        <w:t>Legislation Act 2003</w:t>
      </w:r>
      <w:r w:rsidR="00754664">
        <w:t>.</w:t>
      </w:r>
    </w:p>
    <w:p w14:paraId="3690E3ED" w14:textId="6C44FB34" w:rsidR="00501544" w:rsidRDefault="00A4311D" w:rsidP="004331AC">
      <w:pPr>
        <w:pStyle w:val="Normalparatextwithnumbers"/>
      </w:pPr>
      <w:r>
        <w:t xml:space="preserve">In August 2023, the Government announced the Franchising </w:t>
      </w:r>
      <w:r w:rsidR="00C75DD7">
        <w:t xml:space="preserve">Code </w:t>
      </w:r>
      <w:r>
        <w:t>Review,</w:t>
      </w:r>
      <w:r w:rsidR="005B72FA">
        <w:t xml:space="preserve"> which include</w:t>
      </w:r>
      <w:r w:rsidR="00904259">
        <w:t>d</w:t>
      </w:r>
      <w:r w:rsidR="005B72FA">
        <w:t xml:space="preserve"> consideration of whether the sunsetting Franchising Code </w:t>
      </w:r>
      <w:r w:rsidR="003C7D48">
        <w:t xml:space="preserve">was fit for purpose. </w:t>
      </w:r>
      <w:r w:rsidR="00501544" w:rsidRPr="00501544">
        <w:t xml:space="preserve">The Franchising </w:t>
      </w:r>
      <w:r w:rsidR="00C75DD7">
        <w:t xml:space="preserve">Code </w:t>
      </w:r>
      <w:r w:rsidR="00501544" w:rsidRPr="00501544">
        <w:t xml:space="preserve">Review involved broad consultation. A public consultation paper was released on 22 August 2023, which received 95 responses, </w:t>
      </w:r>
      <w:r w:rsidR="00501544">
        <w:t xml:space="preserve">and involved </w:t>
      </w:r>
      <w:r w:rsidR="00501544" w:rsidRPr="00501544">
        <w:t xml:space="preserve">more than 40 stakeholder roundtables and meetings, and 2 online surveys. </w:t>
      </w:r>
    </w:p>
    <w:p w14:paraId="657E5167" w14:textId="6ADC324C" w:rsidR="00D55339" w:rsidRPr="00D55339" w:rsidRDefault="00D55339" w:rsidP="005205C2">
      <w:pPr>
        <w:pStyle w:val="Normalparatextwithnumbers"/>
      </w:pPr>
      <w:r>
        <w:t>The Franchising</w:t>
      </w:r>
      <w:r w:rsidRPr="00D55339">
        <w:t xml:space="preserve"> </w:t>
      </w:r>
      <w:r w:rsidR="00C75DD7">
        <w:t xml:space="preserve">Code </w:t>
      </w:r>
      <w:r w:rsidRPr="00D55339">
        <w:t>Review found that the</w:t>
      </w:r>
      <w:r>
        <w:t xml:space="preserve"> </w:t>
      </w:r>
      <w:r w:rsidRPr="00D55339">
        <w:t xml:space="preserve">Franchising Code should be remade subject to </w:t>
      </w:r>
      <w:proofErr w:type="gramStart"/>
      <w:r w:rsidRPr="00D55339">
        <w:t>a number of</w:t>
      </w:r>
      <w:proofErr w:type="gramEnd"/>
      <w:r w:rsidRPr="00D55339">
        <w:t xml:space="preserve"> recommendations to improve its operation.</w:t>
      </w:r>
      <w:r>
        <w:t xml:space="preserve"> This relevantly included </w:t>
      </w:r>
      <w:r w:rsidR="000F7BE5">
        <w:t xml:space="preserve">that </w:t>
      </w:r>
      <w:r w:rsidR="00904259">
        <w:t xml:space="preserve">the </w:t>
      </w:r>
      <w:r w:rsidR="000F7BE5">
        <w:t>infringement notice regime in Part IVB should be increased.</w:t>
      </w:r>
      <w:r w:rsidR="005205C2" w:rsidRPr="005205C2">
        <w:t xml:space="preserve"> </w:t>
      </w:r>
      <w:r w:rsidR="005205C2">
        <w:t xml:space="preserve">The Franchising </w:t>
      </w:r>
      <w:r w:rsidR="00C75DD7">
        <w:t xml:space="preserve">Code </w:t>
      </w:r>
      <w:r w:rsidR="005205C2">
        <w:t>Review further suggested that infringement notices should impose a penalty equivalent to the upper limit of infringement notices issued under the ACL (60 penalty units for a body corporate).</w:t>
      </w:r>
      <w:r w:rsidR="00984F59">
        <w:t xml:space="preserve"> </w:t>
      </w:r>
      <w:r w:rsidR="00476A2B">
        <w:t>In response to the Franchising Code Review, the</w:t>
      </w:r>
      <w:r w:rsidR="00691DE1">
        <w:t xml:space="preserve"> Government agree</w:t>
      </w:r>
      <w:r w:rsidR="00872856">
        <w:t>d</w:t>
      </w:r>
      <w:r w:rsidR="00691DE1">
        <w:t xml:space="preserve"> to</w:t>
      </w:r>
      <w:r w:rsidR="00476A2B">
        <w:t xml:space="preserve"> </w:t>
      </w:r>
      <w:r w:rsidR="00476A2B" w:rsidRPr="00476A2B">
        <w:t>consider the suitability of increasing the amount of penalty units to 60 penalty units for infringement notices issued under the CCA for a breach of the Franchising Code</w:t>
      </w:r>
      <w:r w:rsidR="00691DE1">
        <w:t>.</w:t>
      </w:r>
      <w:r w:rsidR="00DC6196">
        <w:t xml:space="preserve"> Schedule 1 to the Bill implements th</w:t>
      </w:r>
      <w:r w:rsidR="005C59D3">
        <w:t xml:space="preserve">is increase. </w:t>
      </w:r>
    </w:p>
    <w:p w14:paraId="751F8EF5" w14:textId="1B7C4D9A" w:rsidR="00D30F76" w:rsidRPr="00D50C3A" w:rsidRDefault="00D30F76" w:rsidP="00D30F76">
      <w:pPr>
        <w:pStyle w:val="Normalparatextwithnumbers"/>
      </w:pPr>
      <w:r>
        <w:lastRenderedPageBreak/>
        <w:t xml:space="preserve">In 2014, the </w:t>
      </w:r>
      <w:r w:rsidRPr="008F31FD">
        <w:rPr>
          <w:i/>
          <w:iCs/>
        </w:rPr>
        <w:t xml:space="preserve">Competition and Consumer Amendment (Industry Code Penalties) </w:t>
      </w:r>
      <w:r>
        <w:rPr>
          <w:i/>
          <w:iCs/>
        </w:rPr>
        <w:t xml:space="preserve">Act </w:t>
      </w:r>
      <w:r w:rsidRPr="008F31FD">
        <w:rPr>
          <w:i/>
          <w:iCs/>
        </w:rPr>
        <w:t>2014</w:t>
      </w:r>
      <w:r>
        <w:rPr>
          <w:i/>
          <w:iCs/>
        </w:rPr>
        <w:t xml:space="preserve"> </w:t>
      </w:r>
      <w:r>
        <w:t xml:space="preserve">amended </w:t>
      </w:r>
      <w:r w:rsidR="00B565BC">
        <w:t>P</w:t>
      </w:r>
      <w:r>
        <w:t>art IVB to allow the ACCC issue an infringement notice</w:t>
      </w:r>
      <w:r w:rsidR="00C718C7" w:rsidRPr="00C718C7">
        <w:t xml:space="preserve"> </w:t>
      </w:r>
      <w:r w:rsidR="00C718C7">
        <w:t>for an alleged contravention of an industry code</w:t>
      </w:r>
      <w:r>
        <w:t xml:space="preserve">, in the amount of 50 penalty units if the person is a body corporate and 10 penalty units </w:t>
      </w:r>
      <w:r w:rsidR="00C6653A">
        <w:t>for a person that is not a body corporate.</w:t>
      </w:r>
    </w:p>
    <w:p w14:paraId="334F50A8" w14:textId="05755557" w:rsidR="00EA0B2C" w:rsidRDefault="001703C8" w:rsidP="00517BA0">
      <w:pPr>
        <w:pStyle w:val="Normalparatextwithnumbers"/>
      </w:pPr>
      <w:r>
        <w:t>This is lower tha</w:t>
      </w:r>
      <w:r w:rsidR="00000C42">
        <w:t>n</w:t>
      </w:r>
      <w:r>
        <w:t xml:space="preserve"> </w:t>
      </w:r>
      <w:r w:rsidR="0066285E">
        <w:t>the</w:t>
      </w:r>
      <w:r>
        <w:t xml:space="preserve"> </w:t>
      </w:r>
      <w:r w:rsidR="00F96305">
        <w:t xml:space="preserve">prescribed </w:t>
      </w:r>
      <w:r>
        <w:t xml:space="preserve">penalty </w:t>
      </w:r>
      <w:r w:rsidR="00226458">
        <w:t>for</w:t>
      </w:r>
      <w:r w:rsidR="00337ADE">
        <w:t xml:space="preserve"> an</w:t>
      </w:r>
      <w:r w:rsidR="00337ADE" w:rsidRPr="00337ADE">
        <w:t xml:space="preserve"> infringement notice issued</w:t>
      </w:r>
      <w:r w:rsidR="00337ADE">
        <w:t xml:space="preserve"> to</w:t>
      </w:r>
      <w:r w:rsidR="00337ADE" w:rsidRPr="00337ADE">
        <w:t xml:space="preserve"> </w:t>
      </w:r>
      <w:r w:rsidR="00337ADE">
        <w:t xml:space="preserve">a body corporate (other than a listed corporation) </w:t>
      </w:r>
      <w:r w:rsidR="00337ADE" w:rsidRPr="00337ADE">
        <w:t xml:space="preserve">in relation to </w:t>
      </w:r>
      <w:r w:rsidR="0066285E">
        <w:t xml:space="preserve">most </w:t>
      </w:r>
      <w:r w:rsidR="00337ADE" w:rsidRPr="00337ADE">
        <w:t>alleged contravention</w:t>
      </w:r>
      <w:r w:rsidR="0066285E">
        <w:t>s</w:t>
      </w:r>
      <w:r w:rsidR="00337ADE" w:rsidRPr="00337ADE">
        <w:t xml:space="preserve"> </w:t>
      </w:r>
      <w:r w:rsidR="0066285E">
        <w:t xml:space="preserve">of </w:t>
      </w:r>
      <w:r w:rsidR="00226458">
        <w:t>the ACL</w:t>
      </w:r>
      <w:r w:rsidR="00000004">
        <w:t>.</w:t>
      </w:r>
      <w:r w:rsidR="005C59D3">
        <w:t xml:space="preserve"> In addition to </w:t>
      </w:r>
      <w:r w:rsidR="003F0C47">
        <w:t>implement</w:t>
      </w:r>
      <w:r w:rsidR="005C59D3">
        <w:t>ing</w:t>
      </w:r>
      <w:r w:rsidR="0099741C">
        <w:t xml:space="preserve"> th</w:t>
      </w:r>
      <w:r w:rsidR="00541D00">
        <w:t>e</w:t>
      </w:r>
      <w:r w:rsidR="0099741C">
        <w:t xml:space="preserve"> recommendation </w:t>
      </w:r>
      <w:r w:rsidR="003F0C47">
        <w:t>of the Franchising Code Review</w:t>
      </w:r>
      <w:r w:rsidR="005C59D3">
        <w:t>,</w:t>
      </w:r>
      <w:r w:rsidR="003F0C47">
        <w:t xml:space="preserve"> </w:t>
      </w:r>
      <w:r w:rsidR="005C59D3">
        <w:t xml:space="preserve">Schedule 1 to the Bill </w:t>
      </w:r>
      <w:r w:rsidR="003F0C47">
        <w:t>increase</w:t>
      </w:r>
      <w:r w:rsidR="005C59D3">
        <w:t>s</w:t>
      </w:r>
      <w:r w:rsidR="003F0C47">
        <w:t xml:space="preserve"> </w:t>
      </w:r>
      <w:r w:rsidR="005C59D3">
        <w:t>the</w:t>
      </w:r>
      <w:r w:rsidR="003F0C47">
        <w:t xml:space="preserve"> penalty for an infringement notice </w:t>
      </w:r>
      <w:r w:rsidR="005C59D3">
        <w:t xml:space="preserve">issued </w:t>
      </w:r>
      <w:r w:rsidR="0004500C">
        <w:t>under</w:t>
      </w:r>
      <w:r w:rsidR="003F0C47">
        <w:t xml:space="preserve"> </w:t>
      </w:r>
      <w:r w:rsidR="00BC763A">
        <w:t xml:space="preserve">all </w:t>
      </w:r>
      <w:r w:rsidR="0099741C">
        <w:t>industry code</w:t>
      </w:r>
      <w:r w:rsidR="00BC763A">
        <w:t>s</w:t>
      </w:r>
      <w:r w:rsidR="0099741C">
        <w:t xml:space="preserve"> (excluding </w:t>
      </w:r>
      <w:r w:rsidR="00A61931">
        <w:t>an industry code that relates to the industry of food and groceries</w:t>
      </w:r>
      <w:r w:rsidR="0099741C">
        <w:t>)</w:t>
      </w:r>
      <w:r w:rsidR="0055702A">
        <w:t xml:space="preserve"> to</w:t>
      </w:r>
      <w:r w:rsidR="00902C6C">
        <w:t xml:space="preserve"> </w:t>
      </w:r>
      <w:r w:rsidR="005C59D3">
        <w:t>60 penalty units for a body corporate and 12 penalty units for a person that is not a body corporate</w:t>
      </w:r>
      <w:r w:rsidR="0004500C">
        <w:t>. This</w:t>
      </w:r>
      <w:r w:rsidR="005C59D3">
        <w:t xml:space="preserve"> </w:t>
      </w:r>
      <w:r w:rsidR="0004500C">
        <w:t xml:space="preserve">is intended to </w:t>
      </w:r>
      <w:r w:rsidR="00A16446">
        <w:t xml:space="preserve">ensure consistency while </w:t>
      </w:r>
      <w:r w:rsidR="00A16446" w:rsidRPr="00CA0B13">
        <w:t>strengthen</w:t>
      </w:r>
      <w:r w:rsidR="00A16446">
        <w:t>ing</w:t>
      </w:r>
      <w:r w:rsidR="00A16446" w:rsidRPr="00CA0B13">
        <w:t xml:space="preserve"> the enforcement regime </w:t>
      </w:r>
      <w:r w:rsidR="00501544">
        <w:t>across</w:t>
      </w:r>
      <w:r w:rsidR="00A16446" w:rsidRPr="00CA0B13">
        <w:t xml:space="preserve"> industry codes to deter non</w:t>
      </w:r>
      <w:r w:rsidR="008B48B9">
        <w:noBreakHyphen/>
      </w:r>
      <w:r w:rsidR="00A16446" w:rsidRPr="00CA0B13">
        <w:t xml:space="preserve">compliant </w:t>
      </w:r>
      <w:r w:rsidR="00A16446">
        <w:t>behaviour.</w:t>
      </w:r>
      <w:r w:rsidR="0099741C">
        <w:t xml:space="preserve"> </w:t>
      </w:r>
    </w:p>
    <w:p w14:paraId="02A930CC" w14:textId="77777777" w:rsidR="00EE3E3E" w:rsidRPr="00020288" w:rsidRDefault="00EE3E3E" w:rsidP="00EE3E3E">
      <w:pPr>
        <w:pStyle w:val="Heading2"/>
      </w:pPr>
      <w:bookmarkStart w:id="47" w:name="_Toc177397313"/>
      <w:r w:rsidRPr="00AF50CE">
        <w:t>Comparison</w:t>
      </w:r>
      <w:r w:rsidRPr="00020288">
        <w:t xml:space="preserve"> of key features of new law and current law</w:t>
      </w:r>
      <w:bookmarkEnd w:id="47"/>
    </w:p>
    <w:p w14:paraId="7EA4DB4B" w14:textId="77777777" w:rsidR="00EE3E3E" w:rsidRPr="002D3B91" w:rsidRDefault="00EE3E3E" w:rsidP="00EE3E3E">
      <w:pPr>
        <w:pStyle w:val="TableHeading"/>
        <w:ind w:left="1701" w:hanging="1701"/>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EE3E3E" w:rsidRPr="00020288" w14:paraId="022E3D74" w14:textId="77777777">
        <w:trPr>
          <w:cnfStyle w:val="100000000000" w:firstRow="1" w:lastRow="0" w:firstColumn="0" w:lastColumn="0" w:oddVBand="0" w:evenVBand="0" w:oddHBand="0" w:evenHBand="0" w:firstRowFirstColumn="0" w:firstRowLastColumn="0" w:lastRowFirstColumn="0" w:lastRowLastColumn="0"/>
        </w:trPr>
        <w:tc>
          <w:tcPr>
            <w:tcW w:w="3776" w:type="dxa"/>
          </w:tcPr>
          <w:p w14:paraId="157DBDB1" w14:textId="77777777" w:rsidR="00EE3E3E" w:rsidRPr="00A61FE9" w:rsidRDefault="00EE3E3E" w:rsidP="00BC03C5">
            <w:pPr>
              <w:pStyle w:val="Tableheaderrowtext"/>
              <w:ind w:left="1701" w:hanging="1701"/>
            </w:pPr>
            <w:r w:rsidRPr="00A61FE9">
              <w:t>New law</w:t>
            </w:r>
          </w:p>
        </w:tc>
        <w:tc>
          <w:tcPr>
            <w:tcW w:w="3874" w:type="dxa"/>
          </w:tcPr>
          <w:p w14:paraId="13E2E314" w14:textId="77777777" w:rsidR="00EE3E3E" w:rsidRPr="00A61FE9" w:rsidRDefault="00EE3E3E" w:rsidP="00BC03C5">
            <w:pPr>
              <w:pStyle w:val="Tableheaderrowtext"/>
              <w:ind w:left="1701" w:hanging="1701"/>
            </w:pPr>
            <w:r w:rsidRPr="00A61FE9">
              <w:t>Current law</w:t>
            </w:r>
          </w:p>
        </w:tc>
      </w:tr>
      <w:tr w:rsidR="00EE3E3E" w:rsidRPr="00020288" w14:paraId="24B0F8A5" w14:textId="77777777" w:rsidTr="00BC03C5">
        <w:tc>
          <w:tcPr>
            <w:tcW w:w="3776" w:type="dxa"/>
          </w:tcPr>
          <w:p w14:paraId="42F82DAF" w14:textId="5ECCE508" w:rsidR="00EE3E3E" w:rsidRPr="00020288" w:rsidRDefault="00EE3E3E" w:rsidP="00BC03C5">
            <w:pPr>
              <w:pStyle w:val="Tabletext"/>
            </w:pPr>
            <w:r>
              <w:t xml:space="preserve">The penalty to be specified in an infringement notice issued to a person </w:t>
            </w:r>
            <w:r w:rsidR="005B6C10">
              <w:t>in relation to a</w:t>
            </w:r>
            <w:r w:rsidR="00E3491A">
              <w:t>n alleged contravention of</w:t>
            </w:r>
            <w:r w:rsidR="00E644EF">
              <w:t xml:space="preserve"> a civil penalty provision of</w:t>
            </w:r>
            <w:r w:rsidR="00E3491A">
              <w:t xml:space="preserve"> </w:t>
            </w:r>
            <w:r>
              <w:t xml:space="preserve">an industry code (other than a code relating to the </w:t>
            </w:r>
            <w:r w:rsidR="004F0DA2">
              <w:t>industry of food and groceries</w:t>
            </w:r>
            <w:r>
              <w:t xml:space="preserve">) is 60 penalty units </w:t>
            </w:r>
            <w:r w:rsidR="007D5002">
              <w:t>for</w:t>
            </w:r>
            <w:r>
              <w:t xml:space="preserve"> a body corporate, </w:t>
            </w:r>
            <w:r w:rsidR="004F0DA2">
              <w:t>and</w:t>
            </w:r>
            <w:r>
              <w:t xml:space="preserve"> 12 penalty units</w:t>
            </w:r>
            <w:r w:rsidR="004F0DA2">
              <w:t xml:space="preserve"> </w:t>
            </w:r>
            <w:r w:rsidR="00E644EF">
              <w:t>otherwise</w:t>
            </w:r>
            <w:r w:rsidR="00CC67E3">
              <w:t>.</w:t>
            </w:r>
          </w:p>
        </w:tc>
        <w:tc>
          <w:tcPr>
            <w:tcW w:w="3874" w:type="dxa"/>
          </w:tcPr>
          <w:p w14:paraId="45FD624D" w14:textId="757B5F03" w:rsidR="00EE3E3E" w:rsidRPr="00020288" w:rsidRDefault="00EE3E3E" w:rsidP="00BC03C5">
            <w:pPr>
              <w:pStyle w:val="Tabletext"/>
            </w:pPr>
            <w:r>
              <w:t xml:space="preserve">The corresponding penalties under the current law are 50 penalty units if the person is a body corporate, </w:t>
            </w:r>
            <w:r w:rsidR="00B43E7D">
              <w:t xml:space="preserve">and 10 penalty units </w:t>
            </w:r>
            <w:r w:rsidR="00E644EF">
              <w:t>otherwise</w:t>
            </w:r>
            <w:r w:rsidR="00B43E7D" w:rsidRPr="00B43E7D">
              <w:t xml:space="preserve">.  </w:t>
            </w:r>
          </w:p>
        </w:tc>
      </w:tr>
      <w:tr w:rsidR="00EE3E3E" w:rsidRPr="00020288" w14:paraId="62CB12AC" w14:textId="77777777" w:rsidTr="00BC03C5">
        <w:tc>
          <w:tcPr>
            <w:tcW w:w="3776" w:type="dxa"/>
          </w:tcPr>
          <w:p w14:paraId="343F8F29" w14:textId="29DECD28" w:rsidR="00EE3E3E" w:rsidRPr="00020288" w:rsidRDefault="00EE3E3E" w:rsidP="00BC03C5">
            <w:pPr>
              <w:pStyle w:val="Tabletext"/>
            </w:pPr>
            <w:r>
              <w:t xml:space="preserve">The penalty to be specified in an infringement notice issued </w:t>
            </w:r>
            <w:r w:rsidR="00E644EF">
              <w:t xml:space="preserve">to a person </w:t>
            </w:r>
            <w:r w:rsidR="00E644EF" w:rsidRPr="00E644EF">
              <w:t xml:space="preserve">in relation to an alleged contravention of a civil penalty provision of an industry code </w:t>
            </w:r>
            <w:r w:rsidR="00CB4781">
              <w:t xml:space="preserve">that </w:t>
            </w:r>
            <w:r>
              <w:t xml:space="preserve">relates to the </w:t>
            </w:r>
            <w:r w:rsidR="004B4B66" w:rsidRPr="004B4B66">
              <w:t>industry of food and groceries</w:t>
            </w:r>
            <w:r w:rsidR="009C66AC">
              <w:t xml:space="preserve"> </w:t>
            </w:r>
            <w:r w:rsidR="003F6AFA">
              <w:t>(</w:t>
            </w:r>
            <w:r w:rsidR="009C66AC">
              <w:t xml:space="preserve">and </w:t>
            </w:r>
            <w:r w:rsidR="00D11D7F">
              <w:t xml:space="preserve">that </w:t>
            </w:r>
            <w:r w:rsidR="009C66AC">
              <w:t xml:space="preserve">states that </w:t>
            </w:r>
            <w:r w:rsidR="00D11D7F">
              <w:t>subsecti</w:t>
            </w:r>
            <w:r w:rsidR="00E4189C">
              <w:t xml:space="preserve">on </w:t>
            </w:r>
            <w:r w:rsidR="00F0304B">
              <w:t>51</w:t>
            </w:r>
            <w:proofErr w:type="gramStart"/>
            <w:r w:rsidR="00F0304B">
              <w:t>ACF(</w:t>
            </w:r>
            <w:proofErr w:type="gramEnd"/>
            <w:r w:rsidR="00F0304B">
              <w:t>2)</w:t>
            </w:r>
            <w:r w:rsidR="009642A9">
              <w:t xml:space="preserve"> applies</w:t>
            </w:r>
            <w:r w:rsidR="003F6AFA">
              <w:t>)</w:t>
            </w:r>
            <w:r w:rsidR="004B4B66" w:rsidRPr="004B4B66" w:rsidDel="004B4B66">
              <w:t xml:space="preserve"> </w:t>
            </w:r>
            <w:r>
              <w:t xml:space="preserve">is 600 penalty units if the person is a body corporate, </w:t>
            </w:r>
            <w:r w:rsidR="00E644EF">
              <w:t>and</w:t>
            </w:r>
            <w:r>
              <w:t xml:space="preserve"> </w:t>
            </w:r>
            <w:r w:rsidR="00E644EF">
              <w:t xml:space="preserve">120 penalty units </w:t>
            </w:r>
            <w:r>
              <w:t xml:space="preserve">otherwise.  </w:t>
            </w:r>
          </w:p>
        </w:tc>
        <w:tc>
          <w:tcPr>
            <w:tcW w:w="3874" w:type="dxa"/>
          </w:tcPr>
          <w:p w14:paraId="0563DABC" w14:textId="1484132A" w:rsidR="00EE3E3E" w:rsidRPr="00020288" w:rsidRDefault="00E644EF" w:rsidP="00BC03C5">
            <w:pPr>
              <w:pStyle w:val="Tabletext"/>
            </w:pPr>
            <w:r w:rsidRPr="00E644EF">
              <w:t xml:space="preserve">The corresponding penalties under the current law are 50 penalty units if the person is a body corporate, and 10 penalty units otherwise. </w:t>
            </w:r>
            <w:r>
              <w:t xml:space="preserve"> </w:t>
            </w:r>
          </w:p>
        </w:tc>
      </w:tr>
      <w:tr w:rsidR="00EE3E3E" w:rsidRPr="00020288" w14:paraId="059389D7" w14:textId="77777777" w:rsidTr="00BC03C5">
        <w:tc>
          <w:tcPr>
            <w:tcW w:w="3776" w:type="dxa"/>
          </w:tcPr>
          <w:p w14:paraId="1EA6B457" w14:textId="5C0AE636" w:rsidR="00891E4B" w:rsidRDefault="00991665" w:rsidP="00891E4B">
            <w:pPr>
              <w:pStyle w:val="Tabletext"/>
            </w:pPr>
            <w:r>
              <w:t>An</w:t>
            </w:r>
            <w:r w:rsidRPr="004F4FB5">
              <w:t xml:space="preserve"> </w:t>
            </w:r>
            <w:r w:rsidR="00EE3E3E" w:rsidRPr="004F4FB5">
              <w:t xml:space="preserve">industry code relating to </w:t>
            </w:r>
            <w:r>
              <w:t xml:space="preserve">the industry of </w:t>
            </w:r>
            <w:r w:rsidR="00EE3E3E" w:rsidRPr="004F4FB5">
              <w:t>food and groceries</w:t>
            </w:r>
            <w:r>
              <w:t xml:space="preserve"> may prescribe</w:t>
            </w:r>
            <w:r w:rsidR="00EE3E3E" w:rsidRPr="004F4FB5">
              <w:t xml:space="preserve"> a</w:t>
            </w:r>
            <w:r w:rsidR="003175F4">
              <w:t xml:space="preserve"> pecuniary penalty for contravention of a</w:t>
            </w:r>
            <w:r w:rsidR="00EE3E3E" w:rsidRPr="004F4FB5">
              <w:t xml:space="preserve"> </w:t>
            </w:r>
            <w:r w:rsidR="00EE3E3E" w:rsidRPr="004F4FB5">
              <w:lastRenderedPageBreak/>
              <w:t>civil penalty provision</w:t>
            </w:r>
            <w:r w:rsidR="003175F4">
              <w:t xml:space="preserve"> by a body corporate </w:t>
            </w:r>
            <w:r w:rsidR="00C87ECC">
              <w:t xml:space="preserve">that is </w:t>
            </w:r>
            <w:r w:rsidR="008C3B28">
              <w:t>the greatest of:</w:t>
            </w:r>
          </w:p>
          <w:p w14:paraId="63261139" w14:textId="00C2EEEE" w:rsidR="00891E4B" w:rsidRDefault="00891E4B" w:rsidP="00C87ECC">
            <w:pPr>
              <w:pStyle w:val="Tabletext"/>
            </w:pPr>
            <w:r>
              <w:t xml:space="preserve">(i) </w:t>
            </w:r>
            <w:proofErr w:type="gramStart"/>
            <w:r>
              <w:t>$10,000,000;</w:t>
            </w:r>
            <w:proofErr w:type="gramEnd"/>
          </w:p>
          <w:p w14:paraId="43689FED" w14:textId="40F9E858" w:rsidR="00891E4B" w:rsidRDefault="00891E4B" w:rsidP="00891E4B">
            <w:pPr>
              <w:pStyle w:val="Tabletext"/>
            </w:pPr>
            <w:r>
              <w:t xml:space="preserve">(ii) if the Court can determine the value of the benefit that the body corporate, and </w:t>
            </w:r>
            <w:proofErr w:type="spellStart"/>
            <w:r>
              <w:t>any body</w:t>
            </w:r>
            <w:proofErr w:type="spellEnd"/>
            <w:r>
              <w:t xml:space="preserve"> corporate related to the body corporate, has obtained directly or indirectly and that is reasonably attributable to the contravention—3 times the value of that benefit</w:t>
            </w:r>
            <w:r w:rsidR="000D6BDC">
              <w:t>;</w:t>
            </w:r>
            <w:r w:rsidR="00C87ECC">
              <w:t xml:space="preserve"> and </w:t>
            </w:r>
          </w:p>
          <w:p w14:paraId="2B1A217D" w14:textId="3E4E23D5" w:rsidR="00EE3E3E" w:rsidRDefault="00891E4B" w:rsidP="00891E4B">
            <w:pPr>
              <w:pStyle w:val="Tabletext"/>
            </w:pPr>
            <w:r>
              <w:t>(iii) if the Court cannot determine the value of that benefit—10</w:t>
            </w:r>
            <w:r w:rsidR="00D7372D">
              <w:t xml:space="preserve"> percent</w:t>
            </w:r>
            <w:r>
              <w:t xml:space="preserve"> of the adjusted turnover of the body corporate during the period of 12 months ending at the end of the month in which the contravention occurred</w:t>
            </w:r>
            <w:r w:rsidR="008C3B28">
              <w:t>.</w:t>
            </w:r>
            <w:r w:rsidR="008C3B28">
              <w:br/>
            </w:r>
          </w:p>
          <w:p w14:paraId="61BF24C3" w14:textId="49F72A83" w:rsidR="00CC67E3" w:rsidRDefault="008C3B28" w:rsidP="00554A00">
            <w:pPr>
              <w:pStyle w:val="Tabletext"/>
              <w:ind w:left="0"/>
            </w:pPr>
            <w:r>
              <w:t>If the penalty above is not prescribed</w:t>
            </w:r>
            <w:r w:rsidR="001E04DF">
              <w:t>,</w:t>
            </w:r>
            <w:r>
              <w:t xml:space="preserve"> the </w:t>
            </w:r>
            <w:r w:rsidR="00554A00">
              <w:t>maximum</w:t>
            </w:r>
            <w:r>
              <w:t xml:space="preserve"> </w:t>
            </w:r>
            <w:r w:rsidR="00554A00">
              <w:t>penalty that may be prescribed is 3</w:t>
            </w:r>
            <w:r w:rsidR="00FA36D3">
              <w:t>,</w:t>
            </w:r>
            <w:r w:rsidR="00554A00">
              <w:t xml:space="preserve">200 penalty units. </w:t>
            </w:r>
          </w:p>
          <w:p w14:paraId="520EA492" w14:textId="77777777" w:rsidR="00CC67E3" w:rsidRDefault="00CC67E3" w:rsidP="00554A00">
            <w:pPr>
              <w:pStyle w:val="Tabletext"/>
              <w:ind w:left="0"/>
            </w:pPr>
          </w:p>
          <w:p w14:paraId="64104FA1" w14:textId="037E2963" w:rsidR="00EE3E3E" w:rsidRPr="00EC4B56" w:rsidRDefault="00CC67E3" w:rsidP="00E0430C">
            <w:pPr>
              <w:pStyle w:val="Tabletext"/>
              <w:ind w:left="0"/>
              <w:rPr>
                <w:color w:val="FF0000"/>
              </w:rPr>
            </w:pPr>
            <w:r w:rsidRPr="00CC67E3">
              <w:t>The maximum pecuniary penalty for other industry codes is unchanged.</w:t>
            </w:r>
          </w:p>
        </w:tc>
        <w:tc>
          <w:tcPr>
            <w:tcW w:w="3874" w:type="dxa"/>
          </w:tcPr>
          <w:p w14:paraId="60CBCD65" w14:textId="1A067D81" w:rsidR="00EE3E3E" w:rsidRPr="00020288" w:rsidRDefault="00991665" w:rsidP="00BC03C5">
            <w:pPr>
              <w:pStyle w:val="Tabletext"/>
            </w:pPr>
            <w:r>
              <w:lastRenderedPageBreak/>
              <w:t xml:space="preserve">An </w:t>
            </w:r>
            <w:r w:rsidRPr="00991665">
              <w:t>industry code (other than a code that relates to the industry of franchising)</w:t>
            </w:r>
            <w:r>
              <w:t xml:space="preserve"> </w:t>
            </w:r>
            <w:r w:rsidRPr="00991665">
              <w:t xml:space="preserve">may prescribe a pecuniary penalty not exceeding </w:t>
            </w:r>
            <w:r w:rsidRPr="00991665">
              <w:lastRenderedPageBreak/>
              <w:t>600 penalty units for a contravention of a civil penalty provision of the code.</w:t>
            </w:r>
          </w:p>
        </w:tc>
      </w:tr>
      <w:tr w:rsidR="00554A00" w:rsidRPr="00020288" w14:paraId="6652C54A" w14:textId="77777777" w:rsidTr="00BC03C5">
        <w:tc>
          <w:tcPr>
            <w:tcW w:w="3776" w:type="dxa"/>
          </w:tcPr>
          <w:p w14:paraId="76BBF97C" w14:textId="29169D6B" w:rsidR="00554A00" w:rsidRDefault="00554A00" w:rsidP="00554A00">
            <w:pPr>
              <w:pStyle w:val="Tabletext"/>
            </w:pPr>
            <w:r>
              <w:lastRenderedPageBreak/>
              <w:t>An industry code relating to the industry of food and groceries may prescribe a pecuniary penalty for contravention of a civil penalty provision by a person that is not a body corporate is $500,000.</w:t>
            </w:r>
          </w:p>
          <w:p w14:paraId="245EFEB6" w14:textId="77777777" w:rsidR="00554A00" w:rsidRDefault="00554A00" w:rsidP="00554A00">
            <w:pPr>
              <w:pStyle w:val="Tabletext"/>
            </w:pPr>
          </w:p>
          <w:p w14:paraId="0551A192" w14:textId="4879F518" w:rsidR="00554A00" w:rsidRDefault="00554A00" w:rsidP="00554A00">
            <w:pPr>
              <w:pStyle w:val="Tabletext"/>
            </w:pPr>
            <w:r>
              <w:t>If the penalty above is not prescribed</w:t>
            </w:r>
            <w:r w:rsidR="00C87ECC">
              <w:t>,</w:t>
            </w:r>
            <w:r>
              <w:t xml:space="preserve"> the maximum penalty that may be prescribed is 640 penalty units</w:t>
            </w:r>
            <w:r w:rsidR="00B07069">
              <w:t>.</w:t>
            </w:r>
          </w:p>
          <w:p w14:paraId="6BD4EAC8" w14:textId="77777777" w:rsidR="00CC67E3" w:rsidRDefault="00CC67E3" w:rsidP="00554A00">
            <w:pPr>
              <w:pStyle w:val="Tabletext"/>
            </w:pPr>
          </w:p>
          <w:p w14:paraId="1A50F25D" w14:textId="23AD077C" w:rsidR="00CC67E3" w:rsidRPr="004F4FB5" w:rsidDel="00991665" w:rsidRDefault="00CC67E3" w:rsidP="00554A00">
            <w:pPr>
              <w:pStyle w:val="Tabletext"/>
            </w:pPr>
            <w:r>
              <w:t xml:space="preserve">The maximum pecuniary penalty for other industry codes is unchanged. </w:t>
            </w:r>
          </w:p>
        </w:tc>
        <w:tc>
          <w:tcPr>
            <w:tcW w:w="3874" w:type="dxa"/>
          </w:tcPr>
          <w:p w14:paraId="2E6EA8E9" w14:textId="0909326F" w:rsidR="00554A00" w:rsidRDefault="00C87ECC" w:rsidP="00BC03C5">
            <w:pPr>
              <w:pStyle w:val="Tabletext"/>
            </w:pPr>
            <w:r w:rsidRPr="00C87ECC">
              <w:t>An industry code (other than a code that relates to the industry of franchising) may prescribe a pecuniary penalty not exceeding 600 penalty units for a contravention of a civil penalty provision of the code.</w:t>
            </w:r>
          </w:p>
        </w:tc>
      </w:tr>
      <w:tr w:rsidR="00C87ECC" w:rsidRPr="00020288" w14:paraId="757A575E" w14:textId="77777777" w:rsidTr="00BC03C5">
        <w:tc>
          <w:tcPr>
            <w:tcW w:w="3776" w:type="dxa"/>
          </w:tcPr>
          <w:p w14:paraId="749BBF19" w14:textId="3DEC0997" w:rsidR="00C87ECC" w:rsidRDefault="00C87ECC" w:rsidP="00C87ECC">
            <w:pPr>
              <w:pStyle w:val="Tabletext"/>
            </w:pPr>
            <w:r>
              <w:t xml:space="preserve">Updated drafting of </w:t>
            </w:r>
            <w:r w:rsidR="00CC67E3">
              <w:t xml:space="preserve">the </w:t>
            </w:r>
            <w:r>
              <w:t>provision that allows industry</w:t>
            </w:r>
            <w:r w:rsidRPr="00965842">
              <w:t xml:space="preserve"> codes </w:t>
            </w:r>
            <w:r>
              <w:t>to</w:t>
            </w:r>
            <w:r w:rsidRPr="00965842">
              <w:t xml:space="preserve"> confer functions and powers on persons and bodies.</w:t>
            </w:r>
          </w:p>
        </w:tc>
        <w:tc>
          <w:tcPr>
            <w:tcW w:w="3874" w:type="dxa"/>
          </w:tcPr>
          <w:p w14:paraId="15FF12A1" w14:textId="768EA919" w:rsidR="00C87ECC" w:rsidRDefault="00C87ECC" w:rsidP="00C87ECC">
            <w:pPr>
              <w:pStyle w:val="Tabletext"/>
            </w:pPr>
            <w:r>
              <w:t xml:space="preserve">Industry codes can confer functions and powers on </w:t>
            </w:r>
            <w:r w:rsidR="00422C01">
              <w:t xml:space="preserve">certain </w:t>
            </w:r>
            <w:r>
              <w:t>persons and bodies.</w:t>
            </w:r>
          </w:p>
        </w:tc>
      </w:tr>
    </w:tbl>
    <w:p w14:paraId="29635507" w14:textId="48ED091F" w:rsidR="00EE3E3E" w:rsidRPr="00621FDF" w:rsidRDefault="00EE3E3E" w:rsidP="00E0430C">
      <w:pPr>
        <w:pStyle w:val="Heading2"/>
        <w:numPr>
          <w:ilvl w:val="1"/>
          <w:numId w:val="2"/>
        </w:numPr>
        <w:tabs>
          <w:tab w:val="num" w:pos="567"/>
        </w:tabs>
        <w:ind w:left="567" w:hanging="567"/>
      </w:pPr>
      <w:bookmarkStart w:id="48" w:name="_Toc177397314"/>
      <w:r w:rsidRPr="00020288">
        <w:lastRenderedPageBreak/>
        <w:t>Detailed explanation of new law</w:t>
      </w:r>
      <w:bookmarkEnd w:id="48"/>
    </w:p>
    <w:p w14:paraId="28EED5DA" w14:textId="72D59994" w:rsidR="009013FB" w:rsidRDefault="009013FB" w:rsidP="009013FB">
      <w:pPr>
        <w:pStyle w:val="Normalparatextwithnumbers"/>
      </w:pPr>
      <w:r>
        <w:t xml:space="preserve">Schedule 1 to the Bill amends Part IVB to: </w:t>
      </w:r>
    </w:p>
    <w:p w14:paraId="6D8ED207" w14:textId="77777777" w:rsidR="009013FB" w:rsidRDefault="009013FB" w:rsidP="002B3C3B">
      <w:pPr>
        <w:pStyle w:val="Dotpoint1"/>
        <w:ind w:left="1418" w:hanging="709"/>
      </w:pPr>
      <w:r>
        <w:t xml:space="preserve">increase the penalty to be specified in infringement notices issued in relation to an alleged contravention of a civil penalty provision: </w:t>
      </w:r>
    </w:p>
    <w:p w14:paraId="1B1C3B79" w14:textId="20ED0FD2" w:rsidR="009013FB" w:rsidRDefault="009013FB" w:rsidP="002B3C3B">
      <w:pPr>
        <w:pStyle w:val="Dotpoint1"/>
        <w:numPr>
          <w:ilvl w:val="1"/>
          <w:numId w:val="8"/>
        </w:numPr>
        <w:ind w:left="1985" w:hanging="567"/>
      </w:pPr>
      <w:r>
        <w:t>of an industry code that relates to the industry of food and groceries</w:t>
      </w:r>
      <w:r w:rsidR="00573DD6">
        <w:t xml:space="preserve"> </w:t>
      </w:r>
      <w:r w:rsidR="009929C8" w:rsidRPr="009929C8">
        <w:t>(</w:t>
      </w:r>
      <w:r w:rsidR="007053CB">
        <w:t xml:space="preserve">and </w:t>
      </w:r>
      <w:r w:rsidR="00D33ACA">
        <w:t xml:space="preserve">that </w:t>
      </w:r>
      <w:r w:rsidR="009929C8" w:rsidRPr="009929C8">
        <w:t>states that the relevant enabling provision applies)</w:t>
      </w:r>
      <w:bookmarkStart w:id="49" w:name="_Hlk177395207"/>
      <w:r>
        <w:t>—</w:t>
      </w:r>
      <w:bookmarkEnd w:id="49"/>
      <w:r>
        <w:t>to 600 penalty units for a body corporate and 120 penalty units otherwise</w:t>
      </w:r>
      <w:r w:rsidR="00151813">
        <w:t xml:space="preserve">; </w:t>
      </w:r>
      <w:r>
        <w:t xml:space="preserve">and </w:t>
      </w:r>
    </w:p>
    <w:p w14:paraId="25225E36" w14:textId="77777777" w:rsidR="009013FB" w:rsidRDefault="009013FB" w:rsidP="002B3C3B">
      <w:pPr>
        <w:pStyle w:val="Dotpoint1"/>
        <w:numPr>
          <w:ilvl w:val="1"/>
          <w:numId w:val="8"/>
        </w:numPr>
        <w:ind w:left="1985" w:hanging="567"/>
      </w:pPr>
      <w:r>
        <w:t xml:space="preserve">of any other industry code—to 60 penalty units for a body corporate and 12 penalty units </w:t>
      </w:r>
      <w:proofErr w:type="gramStart"/>
      <w:r>
        <w:t>otherwise;</w:t>
      </w:r>
      <w:proofErr w:type="gramEnd"/>
      <w:r>
        <w:t xml:space="preserve"> </w:t>
      </w:r>
    </w:p>
    <w:p w14:paraId="3284FB82" w14:textId="39F5922A" w:rsidR="009013FB" w:rsidRDefault="001E04DF" w:rsidP="002B3C3B">
      <w:pPr>
        <w:pStyle w:val="Dotpoint1"/>
        <w:ind w:left="1418" w:hanging="709"/>
      </w:pPr>
      <w:r w:rsidRPr="001E04DF">
        <w:t>increase the maximum penalty for contravention of a civil penalty provision that may be prescribed in an industry code relating to the industry of food and groceries</w:t>
      </w:r>
      <w:r w:rsidR="00C0743C">
        <w:t>;</w:t>
      </w:r>
      <w:r w:rsidR="009013FB">
        <w:t xml:space="preserve"> and </w:t>
      </w:r>
    </w:p>
    <w:p w14:paraId="32B1856A" w14:textId="1E360CCB" w:rsidR="009013FB" w:rsidRDefault="009013FB" w:rsidP="002B3C3B">
      <w:pPr>
        <w:pStyle w:val="Dotpoint1"/>
        <w:ind w:left="1418" w:hanging="709"/>
      </w:pPr>
      <w:r>
        <w:t>clarify the functions</w:t>
      </w:r>
      <w:r w:rsidR="00A03843">
        <w:t xml:space="preserve"> and powers</w:t>
      </w:r>
      <w:r>
        <w:t xml:space="preserve"> that may be conferred on persons under industry codes.</w:t>
      </w:r>
    </w:p>
    <w:p w14:paraId="4186906E" w14:textId="247A54E5" w:rsidR="002249AC" w:rsidRDefault="002249AC" w:rsidP="002249AC">
      <w:pPr>
        <w:pStyle w:val="Normalparatextwithnumbers"/>
      </w:pPr>
      <w:r>
        <w:t>The new penalty regime will deter non-compliant conduct and reduce the financial benefits and incentives for businesses to engage in conduct in breach of the law.</w:t>
      </w:r>
    </w:p>
    <w:p w14:paraId="5139B935" w14:textId="395AE138" w:rsidR="002249AC" w:rsidRDefault="002249AC" w:rsidP="00CA2C70">
      <w:pPr>
        <w:pStyle w:val="Heading3"/>
      </w:pPr>
      <w:bookmarkStart w:id="50" w:name="_Toc177397315"/>
      <w:r w:rsidRPr="00F40F23">
        <w:t xml:space="preserve">Penalty to be specified in an infringement </w:t>
      </w:r>
      <w:proofErr w:type="gramStart"/>
      <w:r w:rsidRPr="00F40F23">
        <w:t>notice</w:t>
      </w:r>
      <w:bookmarkEnd w:id="50"/>
      <w:proofErr w:type="gramEnd"/>
    </w:p>
    <w:p w14:paraId="62C1AE34" w14:textId="0D26AE92" w:rsidR="00EE3E3E" w:rsidRDefault="00EE3E3E" w:rsidP="002249AC">
      <w:pPr>
        <w:pStyle w:val="Normalparatextwithnumbers"/>
      </w:pPr>
      <w:r>
        <w:t xml:space="preserve">Division 2A of Part IVB </w:t>
      </w:r>
      <w:r w:rsidR="002249AC">
        <w:t>allows the ACCC to</w:t>
      </w:r>
      <w:r>
        <w:t xml:space="preserve"> issu</w:t>
      </w:r>
      <w:r w:rsidR="002249AC">
        <w:t>e</w:t>
      </w:r>
      <w:r>
        <w:t xml:space="preserve"> </w:t>
      </w:r>
      <w:r w:rsidR="002249AC">
        <w:t xml:space="preserve">an </w:t>
      </w:r>
      <w:r>
        <w:t>infringement notice</w:t>
      </w:r>
      <w:r w:rsidR="006337D1">
        <w:t xml:space="preserve"> to a person</w:t>
      </w:r>
      <w:r>
        <w:t xml:space="preserve"> where </w:t>
      </w:r>
      <w:r w:rsidR="006337D1">
        <w:t>the ACCC h</w:t>
      </w:r>
      <w:r w:rsidR="00C223F4">
        <w:t>as</w:t>
      </w:r>
      <w:r w:rsidR="006337D1">
        <w:t xml:space="preserve"> </w:t>
      </w:r>
      <w:r>
        <w:t xml:space="preserve">reasonable grounds </w:t>
      </w:r>
      <w:r w:rsidR="006337D1">
        <w:t>to</w:t>
      </w:r>
      <w:r>
        <w:t xml:space="preserve"> believe that a person has contravened a civil penalty provision of an industry code.</w:t>
      </w:r>
    </w:p>
    <w:p w14:paraId="7ED99CBA" w14:textId="18B11C85" w:rsidR="00B26977" w:rsidRDefault="00B26977" w:rsidP="00B26977">
      <w:pPr>
        <w:pStyle w:val="Normalparatextwithnumbers"/>
      </w:pPr>
      <w:r>
        <w:t xml:space="preserve">An infringement notice is a notice served on a person by the ACCC, alleging a contravention of a </w:t>
      </w:r>
      <w:r w:rsidR="00A95A57">
        <w:t xml:space="preserve">civil </w:t>
      </w:r>
      <w:r>
        <w:t xml:space="preserve">penalty provision of an industry code. The notice gives the recipient the option of paying the penalty amount specified in the notice to avoid further action by the ACCC in relation to that </w:t>
      </w:r>
      <w:proofErr w:type="gramStart"/>
      <w:r>
        <w:t>particular alleged</w:t>
      </w:r>
      <w:proofErr w:type="gramEnd"/>
      <w:r>
        <w:t xml:space="preserve"> contravention. Infringement notices are designed to provide a timely, cost</w:t>
      </w:r>
      <w:r w:rsidR="00E86435">
        <w:noBreakHyphen/>
      </w:r>
      <w:r>
        <w:t>effective enforcement alternative to commencing court proceedings in relation to a contravention of an industry code.</w:t>
      </w:r>
    </w:p>
    <w:p w14:paraId="4FCF931B" w14:textId="4C3DEDD3" w:rsidR="00C75DD7" w:rsidRDefault="00D4114B" w:rsidP="00EE3E3E">
      <w:pPr>
        <w:pStyle w:val="Normalparatextwithnumbers"/>
      </w:pPr>
      <w:r>
        <w:t>Prior to Schedule 1 to the Bill commencing, the</w:t>
      </w:r>
      <w:r w:rsidRPr="00D4114B">
        <w:t xml:space="preserve"> penalty to be specified in an infringement notice issued to a person in relation to an alleged contravention of a civil penalty provision of an industry code </w:t>
      </w:r>
      <w:r>
        <w:t>was 50</w:t>
      </w:r>
      <w:r w:rsidRPr="00D4114B">
        <w:t xml:space="preserve"> penalty units if the person is a body corporate, and 10 penalty units otherwise. </w:t>
      </w:r>
    </w:p>
    <w:p w14:paraId="3B44F7BA" w14:textId="281B00AA" w:rsidR="00EE3E3E" w:rsidRDefault="00EE3E3E" w:rsidP="00EE3E3E">
      <w:pPr>
        <w:pStyle w:val="Normalparatextwithnumbers"/>
      </w:pPr>
      <w:r>
        <w:lastRenderedPageBreak/>
        <w:t>The amendments split the penalties to be specified in infringement notices into two new categories</w:t>
      </w:r>
      <w:r w:rsidR="00B94E09" w:rsidRPr="00B94E09">
        <w:t>—</w:t>
      </w:r>
      <w:r>
        <w:t xml:space="preserve">industry codes which relate to the industry of food and groceries, and all other industry codes. </w:t>
      </w:r>
    </w:p>
    <w:p w14:paraId="7394E1B5" w14:textId="1909CA69" w:rsidR="00D2527C" w:rsidRPr="00E0430C" w:rsidRDefault="00617A68" w:rsidP="00E0430C">
      <w:pPr>
        <w:pStyle w:val="Normalparatextwithnumbers"/>
        <w:numPr>
          <w:ilvl w:val="0"/>
          <w:numId w:val="0"/>
        </w:numPr>
        <w:ind w:left="709"/>
        <w:rPr>
          <w:i/>
          <w:iCs/>
        </w:rPr>
      </w:pPr>
      <w:r w:rsidRPr="00617A68">
        <w:rPr>
          <w:i/>
          <w:iCs/>
        </w:rPr>
        <w:t xml:space="preserve">Food and </w:t>
      </w:r>
      <w:r w:rsidR="00D2527C" w:rsidRPr="00E0430C">
        <w:rPr>
          <w:i/>
          <w:iCs/>
        </w:rPr>
        <w:t>Grocery Code</w:t>
      </w:r>
    </w:p>
    <w:p w14:paraId="47B59CED" w14:textId="4DB45582" w:rsidR="00D4114B" w:rsidRDefault="00D4114B" w:rsidP="00EE3E3E">
      <w:pPr>
        <w:pStyle w:val="Normalparatextwithnumbers"/>
        <w:numPr>
          <w:ilvl w:val="1"/>
          <w:numId w:val="6"/>
        </w:numPr>
      </w:pPr>
      <w:r>
        <w:t xml:space="preserve">For an industry code that </w:t>
      </w:r>
      <w:r w:rsidR="000462D9">
        <w:t xml:space="preserve">both </w:t>
      </w:r>
      <w:r>
        <w:t>relates to the industry of food and groceries</w:t>
      </w:r>
      <w:r w:rsidR="003524D5">
        <w:t xml:space="preserve"> and state</w:t>
      </w:r>
      <w:r w:rsidR="00FF01E1">
        <w:t>s</w:t>
      </w:r>
      <w:r w:rsidR="003524D5">
        <w:t xml:space="preserve"> that subsection 51</w:t>
      </w:r>
      <w:proofErr w:type="gramStart"/>
      <w:r w:rsidR="003524D5">
        <w:t>ACF(</w:t>
      </w:r>
      <w:proofErr w:type="gramEnd"/>
      <w:r w:rsidR="003524D5">
        <w:t>2) applies</w:t>
      </w:r>
      <w:r>
        <w:t>, the</w:t>
      </w:r>
      <w:r w:rsidR="00EC1AEB">
        <w:t xml:space="preserve"> new </w:t>
      </w:r>
      <w:r>
        <w:t xml:space="preserve">penalty </w:t>
      </w:r>
      <w:r w:rsidRPr="00D4114B">
        <w:t xml:space="preserve">to be specified in an infringement notice issued to a person in relation to an alleged contravention of a civil penalty provision </w:t>
      </w:r>
      <w:r>
        <w:t>is 600</w:t>
      </w:r>
      <w:r w:rsidRPr="00D4114B">
        <w:t xml:space="preserve"> penalty units if the person is a body corporate, and 1</w:t>
      </w:r>
      <w:r w:rsidR="00325275">
        <w:t>2</w:t>
      </w:r>
      <w:r w:rsidRPr="00D4114B">
        <w:t>0 penalty units otherwise.</w:t>
      </w:r>
    </w:p>
    <w:p w14:paraId="7A695873" w14:textId="1FF20FBB" w:rsidR="00380713" w:rsidRDefault="00380713" w:rsidP="0081444E">
      <w:pPr>
        <w:pStyle w:val="Normalparatextwithnumbers"/>
        <w:numPr>
          <w:ilvl w:val="1"/>
          <w:numId w:val="6"/>
        </w:numPr>
      </w:pPr>
      <w:r>
        <w:t xml:space="preserve">This </w:t>
      </w:r>
      <w:r w:rsidR="00597298">
        <w:t>implements</w:t>
      </w:r>
      <w:r w:rsidR="00665DE9">
        <w:t xml:space="preserve"> the Government response to</w:t>
      </w:r>
      <w:r w:rsidRPr="00C75DD7">
        <w:t xml:space="preserve"> </w:t>
      </w:r>
      <w:r>
        <w:t xml:space="preserve">recommendation 10 of the </w:t>
      </w:r>
      <w:r w:rsidR="00617A68">
        <w:t xml:space="preserve">Food and </w:t>
      </w:r>
      <w:r>
        <w:t>Grocery Code Review, which provide</w:t>
      </w:r>
      <w:r w:rsidR="00665DE9">
        <w:t>d</w:t>
      </w:r>
      <w:r>
        <w:t xml:space="preserve"> that the penalty amount for infringement notices for contraventions of the </w:t>
      </w:r>
      <w:r w:rsidR="00617A68">
        <w:t xml:space="preserve">Food and </w:t>
      </w:r>
      <w:r>
        <w:t>Grocery Code should be 600 penalty units.</w:t>
      </w:r>
    </w:p>
    <w:p w14:paraId="6E33AD21" w14:textId="5F2257FA" w:rsidR="00702C6F" w:rsidRDefault="0081444E" w:rsidP="0081444E">
      <w:pPr>
        <w:pStyle w:val="Normalparatextwithnumbers"/>
        <w:numPr>
          <w:ilvl w:val="1"/>
          <w:numId w:val="6"/>
        </w:numPr>
      </w:pPr>
      <w:r>
        <w:t xml:space="preserve">The </w:t>
      </w:r>
      <w:r w:rsidR="00617A68">
        <w:t xml:space="preserve">Food and </w:t>
      </w:r>
      <w:r>
        <w:t>Grocery Code</w:t>
      </w:r>
      <w:r w:rsidR="00702C6F">
        <w:t xml:space="preserve"> is a voluntary industry code</w:t>
      </w:r>
      <w:r>
        <w:t xml:space="preserve"> which is due to sunset on 1 April 2025</w:t>
      </w:r>
      <w:r w:rsidR="00702C6F">
        <w:t xml:space="preserve">. </w:t>
      </w:r>
      <w:r w:rsidR="00EE7122">
        <w:t>It</w:t>
      </w:r>
      <w:r w:rsidR="006012EB">
        <w:t xml:space="preserve"> does not include civil penalty provisions or </w:t>
      </w:r>
      <w:r w:rsidR="00702C6F">
        <w:t xml:space="preserve">enable the ACCC to issue infringement notices. </w:t>
      </w:r>
    </w:p>
    <w:p w14:paraId="24CCB220" w14:textId="2EE41B6B" w:rsidR="00C223F4" w:rsidRDefault="00702C6F" w:rsidP="008212C2">
      <w:pPr>
        <w:pStyle w:val="Normalparatextwithnumbers"/>
        <w:numPr>
          <w:ilvl w:val="1"/>
          <w:numId w:val="6"/>
        </w:numPr>
      </w:pPr>
      <w:r>
        <w:t xml:space="preserve">The </w:t>
      </w:r>
      <w:r w:rsidR="00617A68">
        <w:t xml:space="preserve">Food and </w:t>
      </w:r>
      <w:r>
        <w:t>Grocery Code is</w:t>
      </w:r>
      <w:r w:rsidR="0081444E">
        <w:t xml:space="preserve"> proposed to be remade as a mandatory industry code that includes civil penalty provisions</w:t>
      </w:r>
      <w:r w:rsidR="00501BF7">
        <w:t>, which</w:t>
      </w:r>
      <w:r>
        <w:t xml:space="preserve"> will allow the ACCC to issue infringement notices</w:t>
      </w:r>
      <w:r w:rsidR="00914DC7">
        <w:t xml:space="preserve"> </w:t>
      </w:r>
      <w:r w:rsidR="003456B0">
        <w:t xml:space="preserve">in </w:t>
      </w:r>
      <w:r w:rsidR="003456B0" w:rsidRPr="003456B0">
        <w:t xml:space="preserve">relation to an alleged contravention </w:t>
      </w:r>
      <w:r w:rsidR="003456B0">
        <w:t>of such</w:t>
      </w:r>
      <w:r w:rsidR="003456B0" w:rsidRPr="003456B0">
        <w:t xml:space="preserve"> civil penalty provision</w:t>
      </w:r>
      <w:r w:rsidR="003456B0">
        <w:t>s</w:t>
      </w:r>
      <w:r w:rsidR="00C223F4">
        <w:t>,</w:t>
      </w:r>
      <w:r w:rsidR="003456B0" w:rsidRPr="003456B0">
        <w:t xml:space="preserve"> </w:t>
      </w:r>
      <w:r w:rsidR="00914DC7">
        <w:t xml:space="preserve">pursuant to </w:t>
      </w:r>
      <w:r w:rsidR="001354B9">
        <w:t>section 51ACD</w:t>
      </w:r>
      <w:r w:rsidR="003456B0">
        <w:t>.</w:t>
      </w:r>
      <w:r w:rsidR="006814F7">
        <w:t xml:space="preserve"> </w:t>
      </w:r>
    </w:p>
    <w:p w14:paraId="1D16194A" w14:textId="5DBAC656" w:rsidR="0081444E" w:rsidRDefault="00B67EBD" w:rsidP="008212C2">
      <w:pPr>
        <w:pStyle w:val="Normalparatextwithnumbers"/>
        <w:numPr>
          <w:ilvl w:val="1"/>
          <w:numId w:val="6"/>
        </w:numPr>
      </w:pPr>
      <w:r>
        <w:t>The</w:t>
      </w:r>
      <w:r w:rsidR="00A808C7">
        <w:t xml:space="preserve"> new</w:t>
      </w:r>
      <w:r>
        <w:t xml:space="preserve"> </w:t>
      </w:r>
      <w:r w:rsidR="00617A68">
        <w:t xml:space="preserve">Food and </w:t>
      </w:r>
      <w:r>
        <w:t xml:space="preserve">Grocery Code </w:t>
      </w:r>
      <w:r w:rsidR="006814F7">
        <w:t>i</w:t>
      </w:r>
      <w:r w:rsidR="0081444E" w:rsidRPr="003C305B">
        <w:t>s proposed to regulate wholesalers and retailers that meet a $5 billion annual turnover threshold.</w:t>
      </w:r>
      <w:r w:rsidR="0081444E">
        <w:t xml:space="preserve"> </w:t>
      </w:r>
      <w:r w:rsidR="007805EF">
        <w:t xml:space="preserve">While the new penalties </w:t>
      </w:r>
      <w:r w:rsidR="007D152F">
        <w:t xml:space="preserve">for infringement notices </w:t>
      </w:r>
      <w:r w:rsidR="007805EF">
        <w:t xml:space="preserve">are higher than those recommended in </w:t>
      </w:r>
      <w:r w:rsidR="00137F9A">
        <w:t>t</w:t>
      </w:r>
      <w:r w:rsidR="007805EF">
        <w:t>h</w:t>
      </w:r>
      <w:r w:rsidR="008212C2">
        <w:t xml:space="preserve">e </w:t>
      </w:r>
      <w:r w:rsidR="008212C2" w:rsidRPr="006814F7">
        <w:t>Guide</w:t>
      </w:r>
      <w:r w:rsidR="007805EF">
        <w:t xml:space="preserve">, </w:t>
      </w:r>
      <w:r w:rsidR="009242CA">
        <w:t>the Guide</w:t>
      </w:r>
      <w:r w:rsidR="00D43B2A">
        <w:t xml:space="preserve"> provides that if the amount payable under an infringement notice is too low, it will be an </w:t>
      </w:r>
      <w:r w:rsidR="007805EF">
        <w:t>in</w:t>
      </w:r>
      <w:r w:rsidR="00D43B2A">
        <w:t>adequate</w:t>
      </w:r>
      <w:r w:rsidR="007805EF">
        <w:t xml:space="preserve"> deterrent and may simply be paid by the guilty and innocent alike as a cost of doing business. </w:t>
      </w:r>
      <w:r w:rsidR="009242CA">
        <w:t>T</w:t>
      </w:r>
      <w:r w:rsidR="0076760A">
        <w:t>he</w:t>
      </w:r>
      <w:r w:rsidR="005B129B">
        <w:t xml:space="preserve"> high penalties for an infringement notice</w:t>
      </w:r>
      <w:r w:rsidR="0076760A">
        <w:t xml:space="preserve"> are</w:t>
      </w:r>
      <w:r w:rsidR="0081444E" w:rsidRPr="00380713">
        <w:t xml:space="preserve"> </w:t>
      </w:r>
      <w:r w:rsidR="00A62FF6" w:rsidRPr="003C305B">
        <w:t xml:space="preserve">necessary </w:t>
      </w:r>
      <w:r w:rsidR="00D2527C" w:rsidRPr="002B6764">
        <w:t>to act as a</w:t>
      </w:r>
      <w:r w:rsidR="00D2527C" w:rsidRPr="00380713">
        <w:t xml:space="preserve"> meaningful deterrent to poor behaviour</w:t>
      </w:r>
      <w:r w:rsidR="00D2527C" w:rsidRPr="003C305B">
        <w:t xml:space="preserve"> </w:t>
      </w:r>
      <w:r w:rsidR="00A62FF6" w:rsidRPr="003C305B">
        <w:t xml:space="preserve">given the size and turnover of </w:t>
      </w:r>
      <w:r w:rsidR="00A67681">
        <w:t>retailers and wholesalers</w:t>
      </w:r>
      <w:r w:rsidR="00A62FF6" w:rsidRPr="003C305B">
        <w:t xml:space="preserve"> that </w:t>
      </w:r>
      <w:r w:rsidR="00B1753F">
        <w:t xml:space="preserve">are proposed to </w:t>
      </w:r>
      <w:r w:rsidR="00A62FF6" w:rsidRPr="003C305B">
        <w:t xml:space="preserve">be regulated under the </w:t>
      </w:r>
      <w:r w:rsidR="004C325A">
        <w:t xml:space="preserve">new </w:t>
      </w:r>
      <w:r w:rsidR="00617A68">
        <w:t xml:space="preserve">Food and </w:t>
      </w:r>
      <w:r w:rsidR="00A62FF6" w:rsidRPr="003C305B">
        <w:t>Grocery Code</w:t>
      </w:r>
      <w:r w:rsidR="0081444E" w:rsidRPr="00380713">
        <w:t>.</w:t>
      </w:r>
      <w:r w:rsidR="0081444E">
        <w:t xml:space="preserve"> </w:t>
      </w:r>
    </w:p>
    <w:p w14:paraId="7491CC5D" w14:textId="77777777" w:rsidR="00503633" w:rsidRDefault="00E01B1A" w:rsidP="00BC547F">
      <w:pPr>
        <w:pStyle w:val="Normalparatextwithnumbers"/>
      </w:pPr>
      <w:r>
        <w:t xml:space="preserve">The new </w:t>
      </w:r>
      <w:r w:rsidR="00DE6DFD">
        <w:t xml:space="preserve">infringement notice </w:t>
      </w:r>
      <w:r>
        <w:t xml:space="preserve">penalty </w:t>
      </w:r>
      <w:r w:rsidR="00DE6DFD">
        <w:t xml:space="preserve">of 600 penalty units only applies </w:t>
      </w:r>
      <w:r w:rsidR="00006708">
        <w:t>to an</w:t>
      </w:r>
      <w:r w:rsidR="002D2D80">
        <w:t xml:space="preserve"> industry code </w:t>
      </w:r>
      <w:r w:rsidR="00006708">
        <w:t>that</w:t>
      </w:r>
      <w:r w:rsidR="006C2FBC">
        <w:t xml:space="preserve"> both</w:t>
      </w:r>
      <w:r w:rsidR="00503633">
        <w:t>:</w:t>
      </w:r>
      <w:r w:rsidR="00006708">
        <w:t xml:space="preserve"> </w:t>
      </w:r>
    </w:p>
    <w:p w14:paraId="61FD314E" w14:textId="6B90C8BF" w:rsidR="00503633" w:rsidRDefault="002D2D80" w:rsidP="00503633">
      <w:pPr>
        <w:pStyle w:val="Dotpoint1"/>
        <w:ind w:left="1418" w:hanging="709"/>
      </w:pPr>
      <w:r>
        <w:t xml:space="preserve">relates to the industry of food and </w:t>
      </w:r>
      <w:r w:rsidR="00DE6DFD">
        <w:t>grocer</w:t>
      </w:r>
      <w:r w:rsidR="00A614A2">
        <w:t>ies</w:t>
      </w:r>
      <w:r w:rsidR="00943892">
        <w:t>,</w:t>
      </w:r>
      <w:r w:rsidR="00DE6DFD">
        <w:t xml:space="preserve"> and</w:t>
      </w:r>
      <w:r w:rsidR="002F62AB">
        <w:t xml:space="preserve"> </w:t>
      </w:r>
    </w:p>
    <w:p w14:paraId="04246301" w14:textId="77777777" w:rsidR="00503633" w:rsidRDefault="008E36F5" w:rsidP="00503633">
      <w:pPr>
        <w:pStyle w:val="Dotpoint1"/>
        <w:ind w:left="1418" w:hanging="709"/>
      </w:pPr>
      <w:r>
        <w:t>provides that subsection 51</w:t>
      </w:r>
      <w:proofErr w:type="gramStart"/>
      <w:r>
        <w:t>ACF(</w:t>
      </w:r>
      <w:proofErr w:type="gramEnd"/>
      <w:r>
        <w:t>2) applies.</w:t>
      </w:r>
      <w:r w:rsidR="001B28B3">
        <w:t xml:space="preserve"> </w:t>
      </w:r>
    </w:p>
    <w:p w14:paraId="3EB3C072" w14:textId="4568060B" w:rsidR="00CB24DC" w:rsidRDefault="007D0163" w:rsidP="00BC547F">
      <w:pPr>
        <w:pStyle w:val="Normalparatextwithnumbers"/>
      </w:pPr>
      <w:r>
        <w:t>T</w:t>
      </w:r>
      <w:r w:rsidR="004957F7">
        <w:t xml:space="preserve">he </w:t>
      </w:r>
      <w:r w:rsidR="00F81861">
        <w:t xml:space="preserve">new penalty </w:t>
      </w:r>
      <w:r>
        <w:t>is</w:t>
      </w:r>
      <w:r w:rsidR="00503633">
        <w:t xml:space="preserve"> only</w:t>
      </w:r>
      <w:r>
        <w:t xml:space="preserve"> intended to be </w:t>
      </w:r>
      <w:r w:rsidR="00503633">
        <w:t>prescribed in</w:t>
      </w:r>
      <w:r w:rsidR="00F81861">
        <w:t xml:space="preserve"> the new Food and Grocery Code</w:t>
      </w:r>
      <w:r>
        <w:t xml:space="preserve">; it is not intended to </w:t>
      </w:r>
      <w:r w:rsidR="00C40788">
        <w:t xml:space="preserve">be prescribed in </w:t>
      </w:r>
      <w:r w:rsidR="001952DB">
        <w:t>other industry codes</w:t>
      </w:r>
      <w:r w:rsidR="00C40788">
        <w:t xml:space="preserve"> that may relate to the </w:t>
      </w:r>
      <w:r w:rsidR="006C2AF1">
        <w:t xml:space="preserve">industry of </w:t>
      </w:r>
      <w:r w:rsidR="00C40788">
        <w:t>food and grocer</w:t>
      </w:r>
      <w:r w:rsidR="006C2AF1">
        <w:t>ies</w:t>
      </w:r>
      <w:r w:rsidR="00C40788">
        <w:t xml:space="preserve"> industry tangentially,</w:t>
      </w:r>
      <w:r w:rsidR="001952DB">
        <w:t xml:space="preserve"> such as the </w:t>
      </w:r>
      <w:r w:rsidR="00BC547F" w:rsidRPr="00DD08B2">
        <w:rPr>
          <w:i/>
          <w:iCs/>
        </w:rPr>
        <w:t>Competition and Consumer (Industry Codes—Dairy) Regulations 2019</w:t>
      </w:r>
      <w:r w:rsidR="00BC547F">
        <w:t>.</w:t>
      </w:r>
    </w:p>
    <w:p w14:paraId="6045D630" w14:textId="77777777" w:rsidR="00E81230" w:rsidRDefault="00405A07" w:rsidP="00CA2C70">
      <w:pPr>
        <w:ind w:firstLine="709"/>
        <w:rPr>
          <w:i/>
          <w:iCs/>
        </w:rPr>
      </w:pPr>
      <w:r w:rsidRPr="00E0430C">
        <w:rPr>
          <w:i/>
          <w:iCs/>
        </w:rPr>
        <w:t xml:space="preserve">Other </w:t>
      </w:r>
      <w:r>
        <w:rPr>
          <w:i/>
          <w:iCs/>
        </w:rPr>
        <w:t>I</w:t>
      </w:r>
      <w:r w:rsidRPr="00E0430C">
        <w:rPr>
          <w:i/>
          <w:iCs/>
        </w:rPr>
        <w:t>ndustry Codes</w:t>
      </w:r>
    </w:p>
    <w:p w14:paraId="3F3DDCC4" w14:textId="525DE00E" w:rsidR="00405A07" w:rsidRPr="00405A07" w:rsidRDefault="00405A07" w:rsidP="00E0430C">
      <w:pPr>
        <w:pStyle w:val="Normalparatextwithnumbers"/>
        <w:numPr>
          <w:ilvl w:val="1"/>
          <w:numId w:val="6"/>
        </w:numPr>
        <w:spacing w:before="0"/>
      </w:pPr>
      <w:r w:rsidRPr="00405A07">
        <w:lastRenderedPageBreak/>
        <w:t>For industry code</w:t>
      </w:r>
      <w:r>
        <w:t>s</w:t>
      </w:r>
      <w:r w:rsidRPr="00405A07">
        <w:t xml:space="preserve"> that </w:t>
      </w:r>
      <w:r>
        <w:t xml:space="preserve">do not </w:t>
      </w:r>
      <w:r w:rsidRPr="00405A07">
        <w:t>relate to the industry of food and groceries,</w:t>
      </w:r>
      <w:r w:rsidR="008C1B59">
        <w:t xml:space="preserve"> the</w:t>
      </w:r>
      <w:r w:rsidR="00D6355D">
        <w:t xml:space="preserve"> </w:t>
      </w:r>
      <w:r w:rsidRPr="00405A07">
        <w:t>new penalty to be specified in an infringement notice issued to a person in relation to an alleged contravention of a civil penalty provision is 60 penalty units if the person is a body corporate, and 1</w:t>
      </w:r>
      <w:r w:rsidR="00A67681">
        <w:t>2</w:t>
      </w:r>
      <w:r w:rsidRPr="00405A07">
        <w:t xml:space="preserve"> penalty units otherwise.</w:t>
      </w:r>
    </w:p>
    <w:p w14:paraId="39D249F2" w14:textId="324DC0D0" w:rsidR="00D6355D" w:rsidRPr="00D6355D" w:rsidRDefault="00D6355D" w:rsidP="00D6355D">
      <w:pPr>
        <w:pStyle w:val="Normalparatextwithnumbers"/>
      </w:pPr>
      <w:r>
        <w:t xml:space="preserve">This </w:t>
      </w:r>
      <w:r w:rsidR="00E91FC4">
        <w:t>implements</w:t>
      </w:r>
      <w:r w:rsidR="00EE3CDA">
        <w:t xml:space="preserve"> the Government’s response to</w:t>
      </w:r>
      <w:r>
        <w:t xml:space="preserve"> recommendation </w:t>
      </w:r>
      <w:r w:rsidR="00E17417">
        <w:t>22</w:t>
      </w:r>
      <w:r>
        <w:t xml:space="preserve"> of the Franchising Code Review, which provide</w:t>
      </w:r>
      <w:r w:rsidR="00721014">
        <w:t>d</w:t>
      </w:r>
      <w:r w:rsidRPr="00D6355D">
        <w:t xml:space="preserve"> that the infringement notice regime in Part IVB should be increased. The Franchising Code Review further suggested that infringement notices should impose a penalty equivalent to the upper limit of infringement notices issued under the ACL (60 penalty units</w:t>
      </w:r>
      <w:r w:rsidR="004047B0">
        <w:t xml:space="preserve"> for a body corporate</w:t>
      </w:r>
      <w:r w:rsidRPr="00D6355D">
        <w:t>).</w:t>
      </w:r>
    </w:p>
    <w:p w14:paraId="4C60F959" w14:textId="0B780D0A" w:rsidR="00D6355D" w:rsidRPr="00E91FC4" w:rsidRDefault="00E91FC4" w:rsidP="00E91FC4">
      <w:pPr>
        <w:pStyle w:val="Normalparatextwithnumbers"/>
      </w:pPr>
      <w:r>
        <w:t xml:space="preserve">Beyond </w:t>
      </w:r>
      <w:r w:rsidRPr="00E91FC4">
        <w:t xml:space="preserve">the </w:t>
      </w:r>
      <w:r w:rsidR="00EE3CDA">
        <w:t xml:space="preserve">changes outlined in the Government’s response to the </w:t>
      </w:r>
      <w:r w:rsidRPr="00E91FC4">
        <w:t>recommendation of the Franchising Code Review</w:t>
      </w:r>
      <w:r>
        <w:t xml:space="preserve">, the amendments </w:t>
      </w:r>
      <w:r w:rsidRPr="00E91FC4">
        <w:t xml:space="preserve">increase </w:t>
      </w:r>
      <w:r w:rsidR="004B6C4E">
        <w:t>the</w:t>
      </w:r>
      <w:r w:rsidRPr="00E91FC4">
        <w:t xml:space="preserve"> penalty </w:t>
      </w:r>
      <w:r w:rsidR="004B6C4E">
        <w:t>to be specified in</w:t>
      </w:r>
      <w:r w:rsidRPr="00E91FC4">
        <w:t xml:space="preserve"> an infringement notice </w:t>
      </w:r>
      <w:r w:rsidR="004B6C4E" w:rsidRPr="004B6C4E">
        <w:t xml:space="preserve">issued to a person in relation to an alleged contravention of a civil penalty provision </w:t>
      </w:r>
      <w:r w:rsidR="008C726A">
        <w:t>of</w:t>
      </w:r>
      <w:r w:rsidR="00402011">
        <w:t xml:space="preserve"> an</w:t>
      </w:r>
      <w:r w:rsidR="004B6C4E" w:rsidRPr="004B6C4E">
        <w:t xml:space="preserve"> industry code</w:t>
      </w:r>
      <w:r w:rsidR="00A21580">
        <w:t xml:space="preserve"> generally</w:t>
      </w:r>
      <w:r w:rsidR="004B6C4E" w:rsidRPr="004B6C4E">
        <w:t xml:space="preserve"> </w:t>
      </w:r>
      <w:r w:rsidRPr="00E91FC4">
        <w:t xml:space="preserve">(excluding </w:t>
      </w:r>
      <w:r w:rsidR="007B1FFD">
        <w:t>an industry code that relates to the industry of food and groceries</w:t>
      </w:r>
      <w:r w:rsidR="00402011">
        <w:t>, as detailed above</w:t>
      </w:r>
      <w:r w:rsidRPr="00E91FC4">
        <w:t>) to</w:t>
      </w:r>
      <w:r w:rsidR="00725AF1">
        <w:t xml:space="preserve"> </w:t>
      </w:r>
      <w:r w:rsidRPr="00E91FC4">
        <w:t xml:space="preserve">ensure consistency while strengthening the enforcement regime across industry codes to deter non-compliant behaviour. </w:t>
      </w:r>
    </w:p>
    <w:p w14:paraId="225D9212" w14:textId="2F909145" w:rsidR="00EE3E3E" w:rsidRPr="00E0430C" w:rsidRDefault="00DE5F21" w:rsidP="00EE3E3E">
      <w:pPr>
        <w:pStyle w:val="Normalparatextwithnumbers"/>
        <w:numPr>
          <w:ilvl w:val="1"/>
          <w:numId w:val="6"/>
        </w:numPr>
        <w:rPr>
          <w:rStyle w:val="normaltextrun"/>
        </w:rPr>
      </w:pPr>
      <w:r w:rsidRPr="00E0430C">
        <w:rPr>
          <w:rStyle w:val="normaltextrun"/>
          <w:color w:val="000000"/>
          <w:shd w:val="clear" w:color="auto" w:fill="FFFFFF"/>
        </w:rPr>
        <w:t>Th</w:t>
      </w:r>
      <w:r w:rsidR="00725AF1">
        <w:rPr>
          <w:rStyle w:val="normaltextrun"/>
          <w:color w:val="000000"/>
          <w:shd w:val="clear" w:color="auto" w:fill="FFFFFF"/>
        </w:rPr>
        <w:t>e</w:t>
      </w:r>
      <w:r w:rsidR="00E91FC4">
        <w:rPr>
          <w:rStyle w:val="normaltextrun"/>
          <w:color w:val="000000"/>
          <w:shd w:val="clear" w:color="auto" w:fill="FFFFFF"/>
        </w:rPr>
        <w:t xml:space="preserve"> new penalt</w:t>
      </w:r>
      <w:r w:rsidR="00725AF1">
        <w:rPr>
          <w:rStyle w:val="normaltextrun"/>
          <w:color w:val="000000"/>
          <w:shd w:val="clear" w:color="auto" w:fill="FFFFFF"/>
        </w:rPr>
        <w:t>ies</w:t>
      </w:r>
      <w:r w:rsidR="00A20A78">
        <w:rPr>
          <w:rStyle w:val="normaltextrun"/>
          <w:color w:val="000000"/>
          <w:shd w:val="clear" w:color="auto" w:fill="FFFFFF"/>
        </w:rPr>
        <w:t xml:space="preserve"> for infringement notices</w:t>
      </w:r>
      <w:r w:rsidRPr="00E0430C">
        <w:rPr>
          <w:rStyle w:val="normaltextrun"/>
          <w:color w:val="000000"/>
          <w:shd w:val="clear" w:color="auto" w:fill="FFFFFF"/>
        </w:rPr>
        <w:t xml:space="preserve"> </w:t>
      </w:r>
      <w:r w:rsidR="00AE4910">
        <w:rPr>
          <w:rStyle w:val="normaltextrun"/>
          <w:color w:val="000000"/>
          <w:shd w:val="clear" w:color="auto" w:fill="FFFFFF"/>
        </w:rPr>
        <w:t xml:space="preserve">are within the maximum </w:t>
      </w:r>
      <w:r w:rsidR="00D00BD9">
        <w:rPr>
          <w:rStyle w:val="normaltextrun"/>
          <w:color w:val="000000"/>
          <w:shd w:val="clear" w:color="auto" w:fill="FFFFFF"/>
        </w:rPr>
        <w:t xml:space="preserve">recommended amount payable for an </w:t>
      </w:r>
      <w:r w:rsidR="00D43B2A">
        <w:rPr>
          <w:rStyle w:val="normaltextrun"/>
          <w:color w:val="000000"/>
          <w:shd w:val="clear" w:color="auto" w:fill="FFFFFF"/>
        </w:rPr>
        <w:t xml:space="preserve">infringement notice </w:t>
      </w:r>
      <w:r w:rsidRPr="00E0430C">
        <w:rPr>
          <w:rStyle w:val="normaltextrun"/>
          <w:color w:val="000000"/>
          <w:shd w:val="clear" w:color="auto" w:fill="FFFFFF"/>
        </w:rPr>
        <w:t>in</w:t>
      </w:r>
      <w:r w:rsidR="00EE3E3E" w:rsidRPr="00E0430C">
        <w:rPr>
          <w:rStyle w:val="normaltextrun"/>
          <w:color w:val="000000"/>
          <w:shd w:val="clear" w:color="auto" w:fill="FFFFFF"/>
        </w:rPr>
        <w:t xml:space="preserve"> the Guide</w:t>
      </w:r>
      <w:r w:rsidR="00762BCA">
        <w:rPr>
          <w:rStyle w:val="normaltextrun"/>
          <w:color w:val="000000"/>
          <w:shd w:val="clear" w:color="auto" w:fill="FFFFFF"/>
        </w:rPr>
        <w:t xml:space="preserve"> and align with </w:t>
      </w:r>
      <w:r w:rsidR="001F6E39">
        <w:rPr>
          <w:rStyle w:val="normaltextrun"/>
          <w:color w:val="000000"/>
          <w:shd w:val="clear" w:color="auto" w:fill="FFFFFF"/>
        </w:rPr>
        <w:t xml:space="preserve">the penalty for an infringement notice </w:t>
      </w:r>
      <w:r w:rsidR="000F3CB6">
        <w:rPr>
          <w:rStyle w:val="normaltextrun"/>
          <w:color w:val="000000"/>
          <w:shd w:val="clear" w:color="auto" w:fill="FFFFFF"/>
        </w:rPr>
        <w:t xml:space="preserve">issued in relation to </w:t>
      </w:r>
      <w:r w:rsidR="00CB5653">
        <w:rPr>
          <w:rStyle w:val="normaltextrun"/>
          <w:color w:val="000000"/>
          <w:shd w:val="clear" w:color="auto" w:fill="FFFFFF"/>
        </w:rPr>
        <w:t xml:space="preserve">an alleged contravention of </w:t>
      </w:r>
      <w:r w:rsidR="0030766B">
        <w:rPr>
          <w:rStyle w:val="normaltextrun"/>
          <w:color w:val="000000"/>
          <w:shd w:val="clear" w:color="auto" w:fill="FFFFFF"/>
        </w:rPr>
        <w:t>certain provisions</w:t>
      </w:r>
      <w:r w:rsidR="000F3CB6">
        <w:rPr>
          <w:rStyle w:val="normaltextrun"/>
          <w:color w:val="000000"/>
          <w:shd w:val="clear" w:color="auto" w:fill="FFFFFF"/>
        </w:rPr>
        <w:t xml:space="preserve"> </w:t>
      </w:r>
      <w:r w:rsidR="001F6E39">
        <w:rPr>
          <w:rStyle w:val="normaltextrun"/>
          <w:color w:val="000000"/>
          <w:shd w:val="clear" w:color="auto" w:fill="FFFFFF"/>
        </w:rPr>
        <w:t>of the ACL</w:t>
      </w:r>
      <w:r w:rsidR="00CC471F">
        <w:rPr>
          <w:rStyle w:val="normaltextrun"/>
          <w:color w:val="000000"/>
          <w:shd w:val="clear" w:color="auto" w:fill="FFFFFF"/>
        </w:rPr>
        <w:t xml:space="preserve">, </w:t>
      </w:r>
      <w:r w:rsidR="0020659C">
        <w:rPr>
          <w:rStyle w:val="normaltextrun"/>
          <w:color w:val="000000"/>
          <w:shd w:val="clear" w:color="auto" w:fill="FFFFFF"/>
        </w:rPr>
        <w:t>such as</w:t>
      </w:r>
      <w:r w:rsidR="00CC471F">
        <w:rPr>
          <w:rStyle w:val="normaltextrun"/>
          <w:color w:val="000000"/>
          <w:shd w:val="clear" w:color="auto" w:fill="FFFFFF"/>
        </w:rPr>
        <w:t xml:space="preserve"> Division 2 of Part 3-2</w:t>
      </w:r>
      <w:r w:rsidR="0020659C">
        <w:rPr>
          <w:rStyle w:val="normaltextrun"/>
          <w:color w:val="000000"/>
          <w:shd w:val="clear" w:color="auto" w:fill="FFFFFF"/>
        </w:rPr>
        <w:t xml:space="preserve"> of the ACL</w:t>
      </w:r>
      <w:r w:rsidR="00CC471F">
        <w:rPr>
          <w:rStyle w:val="normaltextrun"/>
          <w:color w:val="000000"/>
          <w:shd w:val="clear" w:color="auto" w:fill="FFFFFF"/>
        </w:rPr>
        <w:t xml:space="preserve"> (other than section 85</w:t>
      </w:r>
      <w:r w:rsidR="0020659C">
        <w:rPr>
          <w:rStyle w:val="normaltextrun"/>
          <w:color w:val="000000"/>
          <w:shd w:val="clear" w:color="auto" w:fill="FFFFFF"/>
        </w:rPr>
        <w:t xml:space="preserve"> of the ACL</w:t>
      </w:r>
      <w:r w:rsidR="00CC471F">
        <w:rPr>
          <w:rStyle w:val="normaltextrun"/>
          <w:color w:val="000000"/>
          <w:shd w:val="clear" w:color="auto" w:fill="FFFFFF"/>
        </w:rPr>
        <w:t>)</w:t>
      </w:r>
      <w:r w:rsidR="00EE3E3E" w:rsidRPr="00E0430C">
        <w:rPr>
          <w:rStyle w:val="normaltextrun"/>
          <w:color w:val="000000"/>
          <w:shd w:val="clear" w:color="auto" w:fill="FFFFFF"/>
        </w:rPr>
        <w:t>.</w:t>
      </w:r>
    </w:p>
    <w:p w14:paraId="38640B9B" w14:textId="7693C9EB" w:rsidR="00EE3E3E" w:rsidRPr="00C311CA" w:rsidRDefault="00EE3E3E" w:rsidP="00EE3E3E">
      <w:pPr>
        <w:pStyle w:val="Normalparatextwithnumbers"/>
        <w:numPr>
          <w:ilvl w:val="0"/>
          <w:numId w:val="0"/>
        </w:numPr>
        <w:ind w:left="709"/>
        <w:rPr>
          <w:rStyle w:val="References"/>
          <w:i w:val="0"/>
          <w:iCs w:val="0"/>
        </w:rPr>
      </w:pPr>
      <w:r w:rsidRPr="00E91FC4">
        <w:rPr>
          <w:rStyle w:val="References"/>
          <w:i w:val="0"/>
          <w:iCs w:val="0"/>
        </w:rPr>
        <w:t xml:space="preserve">[Schedule 1, item </w:t>
      </w:r>
      <w:r w:rsidR="00405A07" w:rsidRPr="00E91FC4">
        <w:rPr>
          <w:rStyle w:val="References"/>
          <w:i w:val="0"/>
          <w:iCs w:val="0"/>
        </w:rPr>
        <w:t>1</w:t>
      </w:r>
      <w:r w:rsidRPr="00E91FC4">
        <w:rPr>
          <w:rStyle w:val="References"/>
          <w:i w:val="0"/>
          <w:iCs w:val="0"/>
        </w:rPr>
        <w:t>, section 51ACF]</w:t>
      </w:r>
    </w:p>
    <w:p w14:paraId="711E170B" w14:textId="30387408" w:rsidR="00EE3E3E" w:rsidRPr="00C311CA" w:rsidRDefault="00EE3E3E" w:rsidP="00C311CA">
      <w:pPr>
        <w:pStyle w:val="Heading3"/>
      </w:pPr>
      <w:bookmarkStart w:id="51" w:name="_Toc177397316"/>
      <w:bookmarkStart w:id="52" w:name="_Hlk174517544"/>
      <w:r w:rsidRPr="00C311CA">
        <w:t xml:space="preserve">Maximum </w:t>
      </w:r>
      <w:r w:rsidRPr="00C311CA">
        <w:rPr>
          <w:rStyle w:val="References"/>
          <w:rFonts w:ascii="Helvitica" w:hAnsi="Helvitica"/>
          <w:b w:val="0"/>
          <w:bCs w:val="0"/>
          <w:i w:val="0"/>
          <w:iCs w:val="0"/>
          <w:sz w:val="32"/>
        </w:rPr>
        <w:t>p</w:t>
      </w:r>
      <w:r w:rsidRPr="00C311CA">
        <w:t>enalty for breach of civil penalty</w:t>
      </w:r>
      <w:r w:rsidR="002616A5">
        <w:t xml:space="preserve"> provision</w:t>
      </w:r>
      <w:r w:rsidR="00EF4AEC" w:rsidRPr="00EF4AEC">
        <w:t>—</w:t>
      </w:r>
      <w:r w:rsidR="00654EF1">
        <w:t>industry of food and groceries</w:t>
      </w:r>
      <w:bookmarkEnd w:id="51"/>
    </w:p>
    <w:bookmarkEnd w:id="52"/>
    <w:p w14:paraId="2A66E3C1" w14:textId="77777777" w:rsidR="00EE3E3E" w:rsidRPr="00C311CA" w:rsidRDefault="00EE3E3E" w:rsidP="00EE3E3E">
      <w:pPr>
        <w:pStyle w:val="Normalparatextwithnumbers"/>
        <w:numPr>
          <w:ilvl w:val="1"/>
          <w:numId w:val="6"/>
        </w:numPr>
        <w:rPr>
          <w:rStyle w:val="References"/>
          <w:b w:val="0"/>
          <w:bCs w:val="0"/>
          <w:i w:val="0"/>
          <w:iCs w:val="0"/>
        </w:rPr>
      </w:pPr>
      <w:r w:rsidRPr="00C311CA">
        <w:rPr>
          <w:rStyle w:val="References"/>
          <w:b w:val="0"/>
          <w:bCs w:val="0"/>
          <w:i w:val="0"/>
          <w:iCs w:val="0"/>
        </w:rPr>
        <w:t xml:space="preserve">Item 4 to the table in subsection 76(1A) provides that the maximum pecuniary penalty payable for a civil penalty provision of an industry code is:  </w:t>
      </w:r>
    </w:p>
    <w:p w14:paraId="483C262D" w14:textId="77777777" w:rsidR="00EE3E3E" w:rsidRDefault="00EE3E3E" w:rsidP="002B3C3B">
      <w:pPr>
        <w:pStyle w:val="Dotpoint1"/>
        <w:ind w:left="1418" w:hanging="709"/>
      </w:pPr>
      <w:r>
        <w:t xml:space="preserve">if the person is a body corporate, the amount set out in the civil penalty provision of the industry code, and </w:t>
      </w:r>
    </w:p>
    <w:p w14:paraId="469155A1" w14:textId="77777777" w:rsidR="00EE3E3E" w:rsidRDefault="00EE3E3E" w:rsidP="002B3C3B">
      <w:pPr>
        <w:pStyle w:val="Dotpoint1"/>
        <w:ind w:left="1418" w:hanging="709"/>
      </w:pPr>
      <w:r>
        <w:t>if the person is not a body corporate, the amount set out in the civil penalty provision of the industry code.</w:t>
      </w:r>
    </w:p>
    <w:p w14:paraId="508ECDB1" w14:textId="77777777" w:rsidR="00EE3E3E" w:rsidRDefault="00EE3E3E" w:rsidP="00EE3E3E">
      <w:pPr>
        <w:pStyle w:val="Normalparatextwithnumbers"/>
        <w:numPr>
          <w:ilvl w:val="1"/>
          <w:numId w:val="6"/>
        </w:numPr>
        <w:rPr>
          <w:rStyle w:val="References"/>
          <w:b w:val="0"/>
          <w:bCs w:val="0"/>
          <w:i w:val="0"/>
          <w:iCs w:val="0"/>
        </w:rPr>
      </w:pPr>
      <w:r w:rsidRPr="00C311CA">
        <w:rPr>
          <w:rStyle w:val="References"/>
          <w:b w:val="0"/>
          <w:bCs w:val="0"/>
          <w:i w:val="0"/>
          <w:iCs w:val="0"/>
        </w:rPr>
        <w:t>Subsection 51</w:t>
      </w:r>
      <w:proofErr w:type="gramStart"/>
      <w:r w:rsidRPr="00C311CA">
        <w:rPr>
          <w:rStyle w:val="References"/>
          <w:b w:val="0"/>
          <w:bCs w:val="0"/>
          <w:i w:val="0"/>
          <w:iCs w:val="0"/>
        </w:rPr>
        <w:t>AE(</w:t>
      </w:r>
      <w:proofErr w:type="gramEnd"/>
      <w:r w:rsidRPr="00C311CA">
        <w:rPr>
          <w:rStyle w:val="References"/>
          <w:b w:val="0"/>
          <w:bCs w:val="0"/>
          <w:i w:val="0"/>
          <w:iCs w:val="0"/>
        </w:rPr>
        <w:t xml:space="preserve">2) provides that if regulations prescribe an industry code (other than a code that relates to the industry of franchising), the industry code may prescribe a pecuniary penalty not exceeding 600 penalty units for a contravention of a civil penalty provision of the code. </w:t>
      </w:r>
    </w:p>
    <w:p w14:paraId="1175CEBA" w14:textId="7016F0BE" w:rsidR="00EE3E3E" w:rsidRDefault="00222AC9" w:rsidP="00EE3E3E">
      <w:pPr>
        <w:pStyle w:val="Normalparatextwithnumbers"/>
        <w:numPr>
          <w:ilvl w:val="1"/>
          <w:numId w:val="6"/>
        </w:numPr>
        <w:rPr>
          <w:rStyle w:val="References"/>
          <w:b w:val="0"/>
          <w:bCs w:val="0"/>
          <w:i w:val="0"/>
          <w:iCs w:val="0"/>
        </w:rPr>
      </w:pPr>
      <w:r>
        <w:t>The amendments</w:t>
      </w:r>
      <w:r w:rsidR="00EE3E3E">
        <w:t xml:space="preserve"> exclude </w:t>
      </w:r>
      <w:r w:rsidR="005A7753">
        <w:t xml:space="preserve">an </w:t>
      </w:r>
      <w:r w:rsidR="00EE3E3E">
        <w:t>industry</w:t>
      </w:r>
      <w:r w:rsidR="005A7753">
        <w:t xml:space="preserve"> code that relates to the industry</w:t>
      </w:r>
      <w:r w:rsidR="00EE3E3E">
        <w:t xml:space="preserve"> of food and groceries from the </w:t>
      </w:r>
      <w:r w:rsidR="00EE3E3E" w:rsidRPr="00D868E9">
        <w:t xml:space="preserve">maximum </w:t>
      </w:r>
      <w:r w:rsidR="005A7753">
        <w:t xml:space="preserve">pecuniary </w:t>
      </w:r>
      <w:r w:rsidR="00EE3E3E" w:rsidRPr="00D868E9">
        <w:t>penalty</w:t>
      </w:r>
      <w:r w:rsidR="005A7753">
        <w:t xml:space="preserve"> </w:t>
      </w:r>
      <w:r w:rsidR="00EE3E3E" w:rsidRPr="00D868E9">
        <w:t>of 600</w:t>
      </w:r>
      <w:r w:rsidR="005A7753">
        <w:t xml:space="preserve"> penalty units</w:t>
      </w:r>
      <w:r w:rsidR="008B28FD">
        <w:t xml:space="preserve">, in </w:t>
      </w:r>
      <w:r w:rsidR="008B28FD">
        <w:lastRenderedPageBreak/>
        <w:t xml:space="preserve">addition to the existing exclusion for a code that relates to the industry of franchising. </w:t>
      </w:r>
    </w:p>
    <w:p w14:paraId="6F887DB9" w14:textId="25A11957" w:rsidR="00EE3E3E" w:rsidRPr="00785286" w:rsidRDefault="00EE3E3E" w:rsidP="00EE3E3E">
      <w:pPr>
        <w:pStyle w:val="Normalparatextwithnumbers"/>
        <w:numPr>
          <w:ilvl w:val="0"/>
          <w:numId w:val="0"/>
        </w:numPr>
        <w:ind w:left="709"/>
        <w:rPr>
          <w:b/>
          <w:bCs/>
        </w:rPr>
      </w:pPr>
      <w:r w:rsidRPr="00785286">
        <w:rPr>
          <w:b/>
          <w:bCs/>
        </w:rPr>
        <w:t>[Schedule 1, item</w:t>
      </w:r>
      <w:r>
        <w:rPr>
          <w:b/>
          <w:bCs/>
        </w:rPr>
        <w:t xml:space="preserve"> </w:t>
      </w:r>
      <w:r w:rsidR="00FC3D05">
        <w:rPr>
          <w:b/>
          <w:bCs/>
        </w:rPr>
        <w:t>2</w:t>
      </w:r>
      <w:r w:rsidRPr="00785286">
        <w:rPr>
          <w:b/>
          <w:bCs/>
        </w:rPr>
        <w:t>, subsection 51</w:t>
      </w:r>
      <w:proofErr w:type="gramStart"/>
      <w:r w:rsidRPr="00785286">
        <w:rPr>
          <w:b/>
          <w:bCs/>
        </w:rPr>
        <w:t>AE(</w:t>
      </w:r>
      <w:proofErr w:type="gramEnd"/>
      <w:r>
        <w:rPr>
          <w:b/>
          <w:bCs/>
        </w:rPr>
        <w:t>2</w:t>
      </w:r>
      <w:r w:rsidRPr="00785286">
        <w:rPr>
          <w:b/>
          <w:bCs/>
        </w:rPr>
        <w:t>)]</w:t>
      </w:r>
    </w:p>
    <w:p w14:paraId="6CCDD60D" w14:textId="1FA62ECF" w:rsidR="00240D3C" w:rsidRDefault="004B7421" w:rsidP="00B66B7A">
      <w:pPr>
        <w:pStyle w:val="Normalparatextwithnumbers"/>
        <w:numPr>
          <w:ilvl w:val="1"/>
          <w:numId w:val="6"/>
        </w:numPr>
      </w:pPr>
      <w:r>
        <w:t xml:space="preserve">Subsection </w:t>
      </w:r>
      <w:r w:rsidR="005D26E1">
        <w:t>51AE(</w:t>
      </w:r>
      <w:r>
        <w:t>2A</w:t>
      </w:r>
      <w:r w:rsidR="005D26E1">
        <w:t>)</w:t>
      </w:r>
      <w:r>
        <w:t xml:space="preserve"> </w:t>
      </w:r>
      <w:r w:rsidR="00F625D2">
        <w:t>sets out</w:t>
      </w:r>
      <w:r w:rsidR="004A5744">
        <w:t xml:space="preserve"> a </w:t>
      </w:r>
      <w:r w:rsidR="00D84C88">
        <w:t>two-tier</w:t>
      </w:r>
      <w:r w:rsidR="004A5744">
        <w:t xml:space="preserve"> </w:t>
      </w:r>
      <w:r w:rsidR="00D97701">
        <w:t xml:space="preserve">civil </w:t>
      </w:r>
      <w:r w:rsidR="00156B7A">
        <w:t>penalty system for an industry cod</w:t>
      </w:r>
      <w:r w:rsidR="004017DF">
        <w:t>e</w:t>
      </w:r>
      <w:r w:rsidR="00156B7A">
        <w:t xml:space="preserve"> that relates to franchising</w:t>
      </w:r>
      <w:r w:rsidR="00B66B7A">
        <w:t>, where</w:t>
      </w:r>
      <w:r w:rsidR="00CD42DF">
        <w:t>by</w:t>
      </w:r>
      <w:r w:rsidR="00830C0F">
        <w:t xml:space="preserve"> </w:t>
      </w:r>
      <w:r w:rsidR="00B66B7A">
        <w:t xml:space="preserve">the higher tier </w:t>
      </w:r>
      <w:r w:rsidR="001828BA">
        <w:t xml:space="preserve">maximum </w:t>
      </w:r>
      <w:r w:rsidR="00B66B7A">
        <w:t>penalty</w:t>
      </w:r>
      <w:r w:rsidR="001828BA">
        <w:t xml:space="preserve"> may be prescribed</w:t>
      </w:r>
      <w:r w:rsidR="00B66B7A">
        <w:t xml:space="preserve">, or </w:t>
      </w:r>
      <w:r w:rsidR="001828BA">
        <w:t xml:space="preserve">a penalty up </w:t>
      </w:r>
      <w:r w:rsidR="00E25256">
        <w:t xml:space="preserve">to </w:t>
      </w:r>
      <w:r w:rsidR="00B66B7A">
        <w:t>the maximum lower tier penalty</w:t>
      </w:r>
      <w:r w:rsidR="00156B7A">
        <w:t xml:space="preserve">. </w:t>
      </w:r>
    </w:p>
    <w:p w14:paraId="65998BA0" w14:textId="68DC164B" w:rsidR="00B66B7A" w:rsidRDefault="004E3ED8" w:rsidP="001828BA">
      <w:pPr>
        <w:pStyle w:val="Normalparatextwithnumbers"/>
        <w:numPr>
          <w:ilvl w:val="1"/>
          <w:numId w:val="6"/>
        </w:numPr>
      </w:pPr>
      <w:r>
        <w:t xml:space="preserve">The amendments </w:t>
      </w:r>
      <w:r w:rsidR="00E77B87">
        <w:t>provide for</w:t>
      </w:r>
      <w:r w:rsidR="005A6D05">
        <w:t xml:space="preserve"> a similar </w:t>
      </w:r>
      <w:r w:rsidR="00D84C88">
        <w:t xml:space="preserve">two-tier </w:t>
      </w:r>
      <w:r w:rsidR="00D97701">
        <w:t xml:space="preserve">civil </w:t>
      </w:r>
      <w:r w:rsidR="00D84C88">
        <w:t xml:space="preserve">penalty system </w:t>
      </w:r>
      <w:r w:rsidR="00E77B87">
        <w:t>for</w:t>
      </w:r>
      <w:r w:rsidR="00D84C88">
        <w:t xml:space="preserve"> an industry code that relates to the industry of food and groceries</w:t>
      </w:r>
      <w:r w:rsidR="00033E5D">
        <w:t xml:space="preserve"> in accordance with recommendation </w:t>
      </w:r>
      <w:r w:rsidR="00976D2C">
        <w:t xml:space="preserve">9 of the </w:t>
      </w:r>
      <w:r w:rsidR="00617A68">
        <w:t xml:space="preserve">Food and </w:t>
      </w:r>
      <w:r w:rsidR="00976D2C">
        <w:t>Grocery Code Review</w:t>
      </w:r>
      <w:r w:rsidR="00D84C88">
        <w:t>.</w:t>
      </w:r>
      <w:r w:rsidR="0080442B">
        <w:t xml:space="preserve"> The high</w:t>
      </w:r>
      <w:r w:rsidR="00FA5D3B">
        <w:t>er</w:t>
      </w:r>
      <w:r w:rsidR="0080442B">
        <w:t xml:space="preserve"> tier </w:t>
      </w:r>
      <w:r w:rsidR="006B2146">
        <w:t xml:space="preserve">civil </w:t>
      </w:r>
      <w:r w:rsidR="0080442B">
        <w:t>penalty</w:t>
      </w:r>
      <w:r w:rsidR="00CF2831">
        <w:t xml:space="preserve"> </w:t>
      </w:r>
      <w:r w:rsidR="006B2146">
        <w:t>that may be prescribed in</w:t>
      </w:r>
      <w:r w:rsidR="00CF2831">
        <w:t xml:space="preserve"> an industry code that relates to the industry of food and groceries</w:t>
      </w:r>
      <w:r w:rsidR="0080442B">
        <w:t xml:space="preserve"> </w:t>
      </w:r>
      <w:r w:rsidR="009971EB">
        <w:t xml:space="preserve">is the same as </w:t>
      </w:r>
      <w:r w:rsidR="00FA5D3B">
        <w:t xml:space="preserve">for an industry code that </w:t>
      </w:r>
      <w:r w:rsidR="00D61C58">
        <w:t xml:space="preserve">relates to the industry of franchising. </w:t>
      </w:r>
      <w:r w:rsidR="00CF2831">
        <w:t>That is, i</w:t>
      </w:r>
      <w:r w:rsidR="00B66B7A">
        <w:t>f regulations prescribe an industry code that relates to the industry of f</w:t>
      </w:r>
      <w:r w:rsidR="001828BA">
        <w:t>ood and groceries</w:t>
      </w:r>
      <w:r w:rsidR="00B66B7A">
        <w:t xml:space="preserve">, the code may prescribe </w:t>
      </w:r>
      <w:r w:rsidR="001828BA">
        <w:t>a</w:t>
      </w:r>
      <w:r w:rsidR="00B66B7A">
        <w:t xml:space="preserve"> pecuniary penalty for a contravention of a civil penalty provision of the code by a body corporate </w:t>
      </w:r>
      <w:r w:rsidR="001828BA">
        <w:t xml:space="preserve">that </w:t>
      </w:r>
      <w:r w:rsidR="00B66B7A">
        <w:t xml:space="preserve">is the greater of the following: </w:t>
      </w:r>
    </w:p>
    <w:p w14:paraId="4E8E56B6" w14:textId="4A40114F" w:rsidR="00B66B7A" w:rsidRDefault="00B66B7A" w:rsidP="002B3C3B">
      <w:pPr>
        <w:pStyle w:val="Dotpoint1"/>
        <w:ind w:left="1418" w:hanging="709"/>
      </w:pPr>
      <w:proofErr w:type="gramStart"/>
      <w:r>
        <w:t>$10,000,000</w:t>
      </w:r>
      <w:r w:rsidR="006626B2">
        <w:t>;</w:t>
      </w:r>
      <w:proofErr w:type="gramEnd"/>
    </w:p>
    <w:p w14:paraId="45A158F0" w14:textId="41465DFC" w:rsidR="00B66B7A" w:rsidRDefault="00B66B7A" w:rsidP="002B3C3B">
      <w:pPr>
        <w:pStyle w:val="Dotpoint1"/>
        <w:ind w:left="1418" w:hanging="709"/>
      </w:pPr>
      <w:r>
        <w:t xml:space="preserve">if the Court can determine the value of the benefit that the body corporate, and </w:t>
      </w:r>
      <w:proofErr w:type="spellStart"/>
      <w:r>
        <w:t>any body</w:t>
      </w:r>
      <w:proofErr w:type="spellEnd"/>
      <w:r>
        <w:t xml:space="preserve"> corporate related to the body corporate, have obtained directly or indirectly and that is attributable to the act or omission—3 times the value of that benefit</w:t>
      </w:r>
      <w:r w:rsidR="006626B2">
        <w:t>;</w:t>
      </w:r>
      <w:r>
        <w:t xml:space="preserve"> and </w:t>
      </w:r>
    </w:p>
    <w:p w14:paraId="59DDBA57" w14:textId="0AB8E04E" w:rsidR="00B66B7A" w:rsidRDefault="00B66B7A" w:rsidP="002B3C3B">
      <w:pPr>
        <w:pStyle w:val="Dotpoint1"/>
        <w:ind w:left="1418" w:hanging="709"/>
      </w:pPr>
      <w:r>
        <w:t>if the Court cannot determine the value of that benefit—10</w:t>
      </w:r>
      <w:r w:rsidR="00997D56">
        <w:t xml:space="preserve"> percent</w:t>
      </w:r>
      <w:r>
        <w:t xml:space="preserve"> of the body corporate’s adjusted turnover during the 12-month period ending at the end of the month in which the act or omission occurred or started to occur. </w:t>
      </w:r>
    </w:p>
    <w:p w14:paraId="3DFF6335" w14:textId="46EE9D6E" w:rsidR="004E3ED8" w:rsidRDefault="001828BA" w:rsidP="0038545B">
      <w:pPr>
        <w:pStyle w:val="Normalparatextwithnumbers"/>
      </w:pPr>
      <w:r>
        <w:t xml:space="preserve">If the higher tier penalty is not prescribed, </w:t>
      </w:r>
      <w:bookmarkStart w:id="53" w:name="_Hlk175247601"/>
      <w:r w:rsidR="00B66B7A">
        <w:t>an industry</w:t>
      </w:r>
      <w:r w:rsidR="00B66B7A" w:rsidRPr="00CA4CC1">
        <w:t xml:space="preserve"> code</w:t>
      </w:r>
      <w:r w:rsidR="00B66B7A">
        <w:t xml:space="preserve"> that relates to </w:t>
      </w:r>
      <w:r>
        <w:t xml:space="preserve">the industry of food and </w:t>
      </w:r>
      <w:r w:rsidR="00462E37">
        <w:t>groceries</w:t>
      </w:r>
      <w:r>
        <w:t xml:space="preserve"> </w:t>
      </w:r>
      <w:r w:rsidR="00462E37">
        <w:t xml:space="preserve">may </w:t>
      </w:r>
      <w:r w:rsidR="00B66B7A" w:rsidRPr="00CA4CC1">
        <w:t xml:space="preserve">prescribe </w:t>
      </w:r>
      <w:r w:rsidR="00462E37">
        <w:t xml:space="preserve">a </w:t>
      </w:r>
      <w:r w:rsidR="00B66B7A" w:rsidRPr="00CA4CC1">
        <w:t xml:space="preserve">pecuniary penalty </w:t>
      </w:r>
      <w:r w:rsidR="0053497A">
        <w:t>for</w:t>
      </w:r>
      <w:r w:rsidR="0053497A" w:rsidRPr="0053497A">
        <w:t xml:space="preserve"> contravention of a civil penalty provision of the code </w:t>
      </w:r>
      <w:bookmarkEnd w:id="53"/>
      <w:r w:rsidR="0053497A" w:rsidRPr="0053497A">
        <w:t xml:space="preserve">by a body corporate </w:t>
      </w:r>
      <w:r w:rsidR="00051783">
        <w:t>of</w:t>
      </w:r>
      <w:r w:rsidR="0053497A" w:rsidRPr="0053497A">
        <w:t xml:space="preserve"> </w:t>
      </w:r>
      <w:r w:rsidR="00D16170">
        <w:t>up to</w:t>
      </w:r>
      <w:r w:rsidR="00B66B7A" w:rsidRPr="00CA4CC1">
        <w:t xml:space="preserve"> </w:t>
      </w:r>
      <w:r w:rsidR="004017DF">
        <w:t>3</w:t>
      </w:r>
      <w:r w:rsidR="003C34A8">
        <w:t>,</w:t>
      </w:r>
      <w:r w:rsidR="004017DF">
        <w:t>200</w:t>
      </w:r>
      <w:r w:rsidR="004017DF" w:rsidRPr="004017DF">
        <w:t xml:space="preserve"> penalty units.</w:t>
      </w:r>
    </w:p>
    <w:p w14:paraId="473D2107" w14:textId="185A1381" w:rsidR="004017DF" w:rsidRDefault="004017DF" w:rsidP="004017DF">
      <w:pPr>
        <w:pStyle w:val="Normalparatextwithnumbers"/>
      </w:pPr>
      <w:r>
        <w:t xml:space="preserve">The </w:t>
      </w:r>
      <w:r w:rsidR="00C54B85">
        <w:t>higher tier</w:t>
      </w:r>
      <w:r>
        <w:t xml:space="preserve"> </w:t>
      </w:r>
      <w:r w:rsidR="0053497A">
        <w:t xml:space="preserve">penalty for </w:t>
      </w:r>
      <w:r>
        <w:t xml:space="preserve">breach of a civil penalty provision </w:t>
      </w:r>
      <w:r w:rsidR="0053497A">
        <w:t xml:space="preserve">in an industry code that relates to the industry of food or groceries </w:t>
      </w:r>
      <w:r>
        <w:t xml:space="preserve">by a person that is not a body corporate </w:t>
      </w:r>
      <w:r w:rsidR="0053497A">
        <w:t xml:space="preserve">is </w:t>
      </w:r>
      <w:r>
        <w:t xml:space="preserve">$500,000. </w:t>
      </w:r>
    </w:p>
    <w:p w14:paraId="0F28DC44" w14:textId="16DBB2C0" w:rsidR="004017DF" w:rsidRDefault="004017DF" w:rsidP="0053497A">
      <w:pPr>
        <w:pStyle w:val="Normalparatextwithnumbers"/>
        <w:numPr>
          <w:ilvl w:val="1"/>
          <w:numId w:val="6"/>
        </w:numPr>
      </w:pPr>
      <w:r>
        <w:t>If the</w:t>
      </w:r>
      <w:r w:rsidR="0053497A">
        <w:t xml:space="preserve"> higher tier </w:t>
      </w:r>
      <w:r w:rsidR="00D16170">
        <w:t>penalty is</w:t>
      </w:r>
      <w:r>
        <w:t xml:space="preserve"> not </w:t>
      </w:r>
      <w:r w:rsidR="00D16170">
        <w:t xml:space="preserve">prescribed, </w:t>
      </w:r>
      <w:r w:rsidR="0053497A" w:rsidRPr="0053497A">
        <w:t xml:space="preserve">an industry code that relates to the industry of food and groceries may prescribe a pecuniary penalty for contravention of a civil penalty provision of the code </w:t>
      </w:r>
      <w:r>
        <w:t>b</w:t>
      </w:r>
      <w:r w:rsidR="00D16170">
        <w:t>y</w:t>
      </w:r>
      <w:r>
        <w:t xml:space="preserve"> a person that is not a body corporate </w:t>
      </w:r>
      <w:r w:rsidR="00051783">
        <w:t>of</w:t>
      </w:r>
      <w:r w:rsidR="0053497A">
        <w:t xml:space="preserve"> up to</w:t>
      </w:r>
      <w:r>
        <w:t xml:space="preserve"> 640 penalty units. </w:t>
      </w:r>
    </w:p>
    <w:p w14:paraId="6127137C" w14:textId="59225F7E" w:rsidR="0038545B" w:rsidRDefault="00A808C7" w:rsidP="0038545B">
      <w:pPr>
        <w:pStyle w:val="Normalparatextwithnumbers"/>
      </w:pPr>
      <w:r w:rsidRPr="00A808C7">
        <w:t xml:space="preserve">The </w:t>
      </w:r>
      <w:r>
        <w:t xml:space="preserve">new </w:t>
      </w:r>
      <w:r w:rsidR="00617A68">
        <w:t xml:space="preserve">Food and </w:t>
      </w:r>
      <w:r w:rsidRPr="00A808C7">
        <w:t>Grocery Code is proposed to regulate wholesalers and retailers that meet a $5 billion annual turnover threshold</w:t>
      </w:r>
      <w:r>
        <w:t>.</w:t>
      </w:r>
      <w:r w:rsidRPr="00A808C7">
        <w:t xml:space="preserve"> </w:t>
      </w:r>
      <w:r w:rsidR="0038545B">
        <w:t xml:space="preserve">The existing penalties for contravention of an industry code </w:t>
      </w:r>
      <w:r w:rsidR="006A54C2">
        <w:t>under subsection 51</w:t>
      </w:r>
      <w:proofErr w:type="gramStart"/>
      <w:r w:rsidR="006A54C2">
        <w:t>AE(</w:t>
      </w:r>
      <w:proofErr w:type="gramEnd"/>
      <w:r w:rsidR="006A54C2">
        <w:t xml:space="preserve">2) </w:t>
      </w:r>
      <w:r w:rsidR="006E11E6">
        <w:t>would</w:t>
      </w:r>
      <w:r w:rsidR="0038545B">
        <w:t xml:space="preserve"> not provide an effective deterrent because it is open to </w:t>
      </w:r>
      <w:r w:rsidR="00503AC1">
        <w:t>retailers and wholesalers</w:t>
      </w:r>
      <w:r w:rsidR="0038545B">
        <w:t xml:space="preserve"> to </w:t>
      </w:r>
      <w:r w:rsidR="0038545B">
        <w:lastRenderedPageBreak/>
        <w:t xml:space="preserve">weigh the potential benefit of breaching </w:t>
      </w:r>
      <w:r w:rsidR="004029AD">
        <w:t xml:space="preserve">the law </w:t>
      </w:r>
      <w:r w:rsidR="0038545B">
        <w:t xml:space="preserve">against the possible size of the financial penalty, and to knowingly take action in breach of the industry code. </w:t>
      </w:r>
    </w:p>
    <w:p w14:paraId="1328D104" w14:textId="72B5B956" w:rsidR="00A808C7" w:rsidRDefault="00A808C7" w:rsidP="00A808C7">
      <w:pPr>
        <w:pStyle w:val="Normalparatextwithnumbers"/>
      </w:pPr>
      <w:r>
        <w:t xml:space="preserve">The amendments </w:t>
      </w:r>
      <w:r w:rsidR="00976D2C">
        <w:t xml:space="preserve">allow for the </w:t>
      </w:r>
      <w:r>
        <w:t>impos</w:t>
      </w:r>
      <w:r w:rsidR="00976D2C">
        <w:t>ition of</w:t>
      </w:r>
      <w:r>
        <w:t xml:space="preserve"> large maximum penalties for breach of an industry code that relates to the industry of food and groceries to provide a strong deterrent against breach of the law. This is </w:t>
      </w:r>
      <w:r w:rsidRPr="00A808C7">
        <w:t>proportional to the size and turnover of the</w:t>
      </w:r>
      <w:r w:rsidR="00F108FC">
        <w:t xml:space="preserve"> </w:t>
      </w:r>
      <w:r w:rsidR="0004536B">
        <w:t>wholesalers and retailers that are proposed to be regulat</w:t>
      </w:r>
      <w:r w:rsidR="00D57E9F">
        <w:t>ed</w:t>
      </w:r>
      <w:r w:rsidR="0004536B">
        <w:t xml:space="preserve"> under the new </w:t>
      </w:r>
      <w:r w:rsidR="00617A68">
        <w:t xml:space="preserve">Food and </w:t>
      </w:r>
      <w:r w:rsidR="0004536B">
        <w:t xml:space="preserve">Grocery </w:t>
      </w:r>
      <w:r w:rsidR="00317743">
        <w:t>Code and</w:t>
      </w:r>
      <w:r w:rsidR="0004536B">
        <w:t xml:space="preserve"> </w:t>
      </w:r>
      <w:r w:rsidR="00317743">
        <w:t xml:space="preserve">is </w:t>
      </w:r>
      <w:r w:rsidR="00441906">
        <w:t>intended to</w:t>
      </w:r>
      <w:r w:rsidRPr="00A808C7">
        <w:t xml:space="preserve"> provide a meaningful deterrent to poor behaviour</w:t>
      </w:r>
      <w:r w:rsidR="00B03911">
        <w:t xml:space="preserve"> that is</w:t>
      </w:r>
      <w:r w:rsidRPr="00A808C7">
        <w:t xml:space="preserve"> not just seen as a cost of doing business</w:t>
      </w:r>
      <w:r w:rsidR="00936B5E">
        <w:t>.</w:t>
      </w:r>
    </w:p>
    <w:p w14:paraId="3ABD854D" w14:textId="1037E87B" w:rsidR="00A808C7" w:rsidRDefault="00A808C7" w:rsidP="00A808C7">
      <w:pPr>
        <w:pStyle w:val="Normalparatextwithnumbers"/>
      </w:pPr>
      <w:r>
        <w:t xml:space="preserve">As per the Guide, serious pecuniary penalties are most appropriately placed in primary Acts of Parliament rather than subordinate legislation. The penalties in industry codes are prescribed in regulations, however, the maximum penalty that can be given as a penalty to a breach of </w:t>
      </w:r>
      <w:r w:rsidR="003323EE">
        <w:t>a</w:t>
      </w:r>
      <w:r w:rsidR="00B03911">
        <w:t>n industry</w:t>
      </w:r>
      <w:r w:rsidR="003323EE">
        <w:t xml:space="preserve"> code that relates to the industry of food and groceries </w:t>
      </w:r>
      <w:r>
        <w:t xml:space="preserve">has been placed in primary law. As such, the </w:t>
      </w:r>
      <w:r w:rsidR="008029DB">
        <w:t xml:space="preserve">amendments </w:t>
      </w:r>
      <w:r w:rsidR="00A80CF0">
        <w:t xml:space="preserve">implement </w:t>
      </w:r>
      <w:r>
        <w:t xml:space="preserve">the recommendations in the </w:t>
      </w:r>
      <w:r w:rsidR="007E38C2">
        <w:t xml:space="preserve">Review of the </w:t>
      </w:r>
      <w:r w:rsidR="00617A68">
        <w:t xml:space="preserve">Food and </w:t>
      </w:r>
      <w:r w:rsidR="007E38C2">
        <w:t>Grocery Code</w:t>
      </w:r>
      <w:r>
        <w:t xml:space="preserve"> </w:t>
      </w:r>
      <w:r w:rsidR="007B4AE9">
        <w:t>(</w:t>
      </w:r>
      <w:r>
        <w:t xml:space="preserve">to </w:t>
      </w:r>
      <w:r w:rsidR="00317743">
        <w:t>prescribe high</w:t>
      </w:r>
      <w:r>
        <w:t xml:space="preserve"> </w:t>
      </w:r>
      <w:r w:rsidR="007B4AE9">
        <w:t xml:space="preserve">maximum </w:t>
      </w:r>
      <w:r>
        <w:t>penalties</w:t>
      </w:r>
      <w:r w:rsidR="00317743">
        <w:t xml:space="preserve"> for more harmful breach</w:t>
      </w:r>
      <w:r>
        <w:t xml:space="preserve"> </w:t>
      </w:r>
      <w:r w:rsidR="007E38C2">
        <w:t xml:space="preserve">in relation to the </w:t>
      </w:r>
      <w:r w:rsidR="009F79DC">
        <w:t xml:space="preserve">new </w:t>
      </w:r>
      <w:r w:rsidR="00617A68">
        <w:t xml:space="preserve">Food and </w:t>
      </w:r>
      <w:r w:rsidR="007E38C2">
        <w:t>Grocery Code</w:t>
      </w:r>
      <w:r>
        <w:t xml:space="preserve"> to ensure a meaningful deterrent</w:t>
      </w:r>
      <w:r w:rsidR="007B4AE9">
        <w:t>)</w:t>
      </w:r>
      <w:r>
        <w:t xml:space="preserve">, </w:t>
      </w:r>
      <w:r w:rsidR="00A80CF0">
        <w:t xml:space="preserve">while also meeting </w:t>
      </w:r>
      <w:r>
        <w:t>the principles set out in the Guide.</w:t>
      </w:r>
    </w:p>
    <w:p w14:paraId="1C9A6D07" w14:textId="37D2C16D" w:rsidR="00920050" w:rsidRDefault="00920050" w:rsidP="0038545B">
      <w:pPr>
        <w:pStyle w:val="Normalparatextwithnumbers"/>
      </w:pPr>
      <w:r>
        <w:t xml:space="preserve">The </w:t>
      </w:r>
      <w:r w:rsidR="00936B5E">
        <w:t>higher tier</w:t>
      </w:r>
      <w:r>
        <w:t xml:space="preserve"> maximum penalt</w:t>
      </w:r>
      <w:r w:rsidR="00936B5E">
        <w:t>ies</w:t>
      </w:r>
      <w:r>
        <w:t xml:space="preserve"> </w:t>
      </w:r>
      <w:r w:rsidR="004344EC">
        <w:t>are</w:t>
      </w:r>
      <w:r w:rsidR="00CF4700">
        <w:t xml:space="preserve"> only intended to apply in the most egregious instances of non-compliance</w:t>
      </w:r>
      <w:r w:rsidR="000B2288">
        <w:t xml:space="preserve">; </w:t>
      </w:r>
      <w:r w:rsidR="00862582">
        <w:t>therefore,</w:t>
      </w:r>
      <w:r w:rsidR="000B2288">
        <w:t xml:space="preserve"> they</w:t>
      </w:r>
      <w:r w:rsidR="00CF4700">
        <w:t xml:space="preserve"> are</w:t>
      </w:r>
      <w:r w:rsidR="000B2288">
        <w:t xml:space="preserve"> only</w:t>
      </w:r>
      <w:r w:rsidR="00CF4700">
        <w:t xml:space="preserve"> </w:t>
      </w:r>
      <w:r w:rsidR="004344EC">
        <w:t xml:space="preserve">proposed to be </w:t>
      </w:r>
      <w:r w:rsidR="00976D2C">
        <w:t xml:space="preserve">prescribed </w:t>
      </w:r>
      <w:r w:rsidR="000B2288">
        <w:t>for the</w:t>
      </w:r>
      <w:r w:rsidR="004344EC">
        <w:t xml:space="preserve"> most harmful breaches of the new </w:t>
      </w:r>
      <w:r w:rsidR="00617A68">
        <w:t xml:space="preserve">Food and </w:t>
      </w:r>
      <w:r w:rsidR="004344EC">
        <w:t xml:space="preserve">Grocery </w:t>
      </w:r>
      <w:r w:rsidR="00CF4700">
        <w:t>Code</w:t>
      </w:r>
      <w:r>
        <w:t xml:space="preserve">. Courts have the discretion to determine the appropriate penalty amount, up to the maximum set </w:t>
      </w:r>
      <w:r w:rsidR="00936B5E">
        <w:t xml:space="preserve">out </w:t>
      </w:r>
      <w:r>
        <w:t>under the law.</w:t>
      </w:r>
    </w:p>
    <w:p w14:paraId="5EF4357B" w14:textId="22F4A62C" w:rsidR="00EE3E3E" w:rsidRDefault="00EE3E3E" w:rsidP="00EE3E3E">
      <w:pPr>
        <w:pStyle w:val="Normalparatextwithnumbers"/>
        <w:numPr>
          <w:ilvl w:val="0"/>
          <w:numId w:val="0"/>
        </w:numPr>
        <w:ind w:left="709"/>
        <w:rPr>
          <w:b/>
          <w:bCs/>
        </w:rPr>
      </w:pPr>
      <w:r w:rsidRPr="006E6448">
        <w:rPr>
          <w:b/>
          <w:bCs/>
        </w:rPr>
        <w:t>[</w:t>
      </w:r>
      <w:r w:rsidRPr="00785286">
        <w:rPr>
          <w:b/>
          <w:bCs/>
        </w:rPr>
        <w:t>Schedule 1, item</w:t>
      </w:r>
      <w:r>
        <w:rPr>
          <w:b/>
          <w:bCs/>
        </w:rPr>
        <w:t xml:space="preserve">s </w:t>
      </w:r>
      <w:r w:rsidR="00066E94">
        <w:rPr>
          <w:b/>
          <w:bCs/>
        </w:rPr>
        <w:t>3-4</w:t>
      </w:r>
      <w:r w:rsidRPr="00785286">
        <w:rPr>
          <w:b/>
          <w:bCs/>
        </w:rPr>
        <w:t>, subsection 51AE(</w:t>
      </w:r>
      <w:r>
        <w:rPr>
          <w:b/>
          <w:bCs/>
        </w:rPr>
        <w:t>2A</w:t>
      </w:r>
      <w:r w:rsidRPr="00785286">
        <w:rPr>
          <w:b/>
          <w:bCs/>
        </w:rPr>
        <w:t>)</w:t>
      </w:r>
      <w:r w:rsidR="00B461EE">
        <w:rPr>
          <w:b/>
          <w:bCs/>
        </w:rPr>
        <w:t>]</w:t>
      </w:r>
    </w:p>
    <w:p w14:paraId="59B48C98" w14:textId="5EF4C6EE" w:rsidR="00EE3E3E" w:rsidRDefault="00EE3E3E" w:rsidP="00EE3E3E">
      <w:pPr>
        <w:pStyle w:val="Heading3"/>
      </w:pPr>
      <w:bookmarkStart w:id="54" w:name="_Toc177397317"/>
      <w:r>
        <w:t xml:space="preserve">Conferral of functions </w:t>
      </w:r>
      <w:r w:rsidR="00A03843">
        <w:t xml:space="preserve">and powers </w:t>
      </w:r>
      <w:r w:rsidR="00066B96">
        <w:t>on persons</w:t>
      </w:r>
      <w:bookmarkEnd w:id="54"/>
    </w:p>
    <w:p w14:paraId="7E82860C" w14:textId="19B34B8A" w:rsidR="00EE3E3E" w:rsidRDefault="00EE3E3E" w:rsidP="00EE3E3E">
      <w:pPr>
        <w:pStyle w:val="Normalparatextwithnumbers"/>
        <w:numPr>
          <w:ilvl w:val="1"/>
          <w:numId w:val="6"/>
        </w:numPr>
      </w:pPr>
      <w:r>
        <w:t>S</w:t>
      </w:r>
      <w:r w:rsidR="00873C6D">
        <w:t>ubs</w:t>
      </w:r>
      <w:r>
        <w:t xml:space="preserve">ections 51AE(1A) and (1B) deal with the conferral of functions and powers on persons and bodies under </w:t>
      </w:r>
      <w:r w:rsidR="00957262">
        <w:t xml:space="preserve">regulations that prescribe </w:t>
      </w:r>
      <w:r>
        <w:t xml:space="preserve">industry codes. </w:t>
      </w:r>
    </w:p>
    <w:p w14:paraId="705D6A99" w14:textId="25D447DB" w:rsidR="00EE3E3E" w:rsidRDefault="00080759" w:rsidP="00EE3E3E">
      <w:pPr>
        <w:pStyle w:val="Normalparatextwithnumbers"/>
        <w:numPr>
          <w:ilvl w:val="1"/>
          <w:numId w:val="6"/>
        </w:numPr>
      </w:pPr>
      <w:r>
        <w:t xml:space="preserve">The amendments </w:t>
      </w:r>
      <w:r w:rsidR="00975125">
        <w:t xml:space="preserve">update the </w:t>
      </w:r>
      <w:r w:rsidR="00D22331">
        <w:t>drafting</w:t>
      </w:r>
      <w:r w:rsidR="00975125">
        <w:t xml:space="preserve"> of </w:t>
      </w:r>
      <w:r w:rsidR="00D22331">
        <w:t xml:space="preserve">subsection 51AE(1B) to </w:t>
      </w:r>
      <w:r w:rsidR="00B82F25">
        <w:t xml:space="preserve">clarify the </w:t>
      </w:r>
      <w:r w:rsidR="000511EB">
        <w:t>kind of person</w:t>
      </w:r>
      <w:r w:rsidR="007D062B">
        <w:t xml:space="preserve"> or body</w:t>
      </w:r>
      <w:r w:rsidR="00D00F9B">
        <w:t xml:space="preserve"> on whom an industry code may confer functions and powers. </w:t>
      </w:r>
      <w:r w:rsidR="000511EB">
        <w:t xml:space="preserve"> </w:t>
      </w:r>
    </w:p>
    <w:p w14:paraId="3CC43376" w14:textId="2494EE52" w:rsidR="00EE3E3E" w:rsidRPr="00672BC9" w:rsidRDefault="00EE3E3E" w:rsidP="00EE3E3E">
      <w:pPr>
        <w:pStyle w:val="Normalparatextwithnumbers"/>
        <w:numPr>
          <w:ilvl w:val="0"/>
          <w:numId w:val="0"/>
        </w:numPr>
        <w:ind w:left="709"/>
        <w:rPr>
          <w:b/>
          <w:bCs/>
        </w:rPr>
      </w:pPr>
      <w:r w:rsidRPr="00672BC9">
        <w:rPr>
          <w:b/>
          <w:bCs/>
        </w:rPr>
        <w:t>[Schedule 1, item 7, subsection 51AE(1B)]</w:t>
      </w:r>
    </w:p>
    <w:p w14:paraId="470862BE" w14:textId="02CB17E2" w:rsidR="00AC4685" w:rsidRDefault="00AC4685" w:rsidP="00EE3E3E">
      <w:pPr>
        <w:pStyle w:val="Heading2"/>
      </w:pPr>
      <w:bookmarkStart w:id="55" w:name="_Toc177397318"/>
      <w:bookmarkStart w:id="56" w:name="_Toc78193246"/>
      <w:bookmarkStart w:id="57" w:name="_Toc78193403"/>
      <w:bookmarkStart w:id="58" w:name="_Toc78548476"/>
      <w:bookmarkStart w:id="59" w:name="_Toc78549747"/>
      <w:bookmarkStart w:id="60" w:name="_Toc78549791"/>
      <w:r>
        <w:t>Consequential amendments</w:t>
      </w:r>
      <w:bookmarkEnd w:id="55"/>
    </w:p>
    <w:p w14:paraId="13CE5E8E" w14:textId="67D2C679" w:rsidR="00AC4685" w:rsidRDefault="00AC4685" w:rsidP="00AC4685">
      <w:pPr>
        <w:pStyle w:val="Normalparatextwithnumbers"/>
      </w:pPr>
      <w:r w:rsidRPr="00AC4685">
        <w:t>Consequential amendments</w:t>
      </w:r>
      <w:r>
        <w:t xml:space="preserve"> </w:t>
      </w:r>
      <w:r w:rsidR="00D9023E">
        <w:t xml:space="preserve">are made to </w:t>
      </w:r>
      <w:r>
        <w:t xml:space="preserve">ensure the infringement notice scheme </w:t>
      </w:r>
      <w:r w:rsidR="00D00AA9">
        <w:t xml:space="preserve">under Part IVBA </w:t>
      </w:r>
      <w:r w:rsidR="00653D87">
        <w:t xml:space="preserve">continues </w:t>
      </w:r>
      <w:r w:rsidR="00D00AA9">
        <w:t xml:space="preserve">unchanged. </w:t>
      </w:r>
    </w:p>
    <w:p w14:paraId="46CE65D4" w14:textId="22700807" w:rsidR="00AC4685" w:rsidRDefault="00AC4685" w:rsidP="00AC4685">
      <w:pPr>
        <w:pStyle w:val="Normalparatextwithnumbers"/>
      </w:pPr>
      <w:r>
        <w:lastRenderedPageBreak/>
        <w:t>The reference to “</w:t>
      </w:r>
      <w:r w:rsidRPr="00B44565">
        <w:t xml:space="preserve">paragraph 51ACF(a) to 50 penalty units” </w:t>
      </w:r>
      <w:r>
        <w:t xml:space="preserve">is </w:t>
      </w:r>
      <w:r w:rsidRPr="00B44565">
        <w:t>substitute</w:t>
      </w:r>
      <w:r>
        <w:t>d with</w:t>
      </w:r>
      <w:r w:rsidRPr="00B44565">
        <w:t xml:space="preserve"> “subparagraph 51ACF(1)(b)(i) to 60 penalty units”</w:t>
      </w:r>
      <w:r>
        <w:t xml:space="preserve"> in subsection 52ZZG(2)</w:t>
      </w:r>
      <w:r w:rsidR="00735BD9">
        <w:t xml:space="preserve"> to ensure </w:t>
      </w:r>
      <w:r w:rsidRPr="007B0559">
        <w:t>Division 2A of Part IVB</w:t>
      </w:r>
      <w:r w:rsidR="00EA2033">
        <w:t xml:space="preserve"> (</w:t>
      </w:r>
      <w:r w:rsidR="00320F80">
        <w:t>dealing with infringement notices</w:t>
      </w:r>
      <w:r w:rsidR="00D447F9">
        <w:t xml:space="preserve"> in relation to industry codes</w:t>
      </w:r>
      <w:r w:rsidR="00EA2033">
        <w:t>)</w:t>
      </w:r>
      <w:r w:rsidRPr="007B0559">
        <w:t xml:space="preserve"> applies in relation to an alleged contravention of a provision of Division 4 of Part</w:t>
      </w:r>
      <w:r>
        <w:t xml:space="preserve"> IVBA</w:t>
      </w:r>
      <w:r w:rsidRPr="007B0559">
        <w:t xml:space="preserve"> in the same way in which it applies in relation to an alleged contravention of a civil penalty provision of an industry code</w:t>
      </w:r>
      <w:r>
        <w:t>, with a reference to 60 penalty units</w:t>
      </w:r>
      <w:r w:rsidR="008B66A6">
        <w:t xml:space="preserve"> </w:t>
      </w:r>
      <w:r>
        <w:t>taken to be a reference to 600 penalty units.</w:t>
      </w:r>
    </w:p>
    <w:p w14:paraId="772542F7" w14:textId="77777777" w:rsidR="00AC4685" w:rsidRPr="002D5889" w:rsidRDefault="00AC4685" w:rsidP="00AC4685">
      <w:pPr>
        <w:pStyle w:val="Normalparatextwithnumbers"/>
        <w:numPr>
          <w:ilvl w:val="0"/>
          <w:numId w:val="0"/>
        </w:numPr>
        <w:ind w:left="709"/>
        <w:rPr>
          <w:b/>
          <w:bCs/>
        </w:rPr>
      </w:pPr>
      <w:r w:rsidRPr="00AC4685">
        <w:rPr>
          <w:b/>
          <w:bCs/>
        </w:rPr>
        <w:t>[Schedule 1, item 5, subsection 52</w:t>
      </w:r>
      <w:proofErr w:type="gramStart"/>
      <w:r w:rsidRPr="00AC4685">
        <w:rPr>
          <w:b/>
          <w:bCs/>
        </w:rPr>
        <w:t>ZZG(</w:t>
      </w:r>
      <w:proofErr w:type="gramEnd"/>
      <w:r w:rsidRPr="00AC4685">
        <w:rPr>
          <w:b/>
          <w:bCs/>
        </w:rPr>
        <w:t>2)]</w:t>
      </w:r>
    </w:p>
    <w:p w14:paraId="3ED02F1F" w14:textId="43AC60BF" w:rsidR="00EE3E3E" w:rsidRPr="00020288" w:rsidRDefault="00EE3E3E" w:rsidP="00EE3E3E">
      <w:pPr>
        <w:pStyle w:val="Heading2"/>
      </w:pPr>
      <w:bookmarkStart w:id="61" w:name="_Toc177397319"/>
      <w:r w:rsidRPr="00020288">
        <w:t>Commencement</w:t>
      </w:r>
      <w:r w:rsidR="00B913C7">
        <w:t xml:space="preserve"> and</w:t>
      </w:r>
      <w:r w:rsidRPr="00020288">
        <w:t xml:space="preserve"> </w:t>
      </w:r>
      <w:r w:rsidRPr="00AF50CE">
        <w:t>application</w:t>
      </w:r>
      <w:r w:rsidR="00B913C7">
        <w:t xml:space="preserve"> </w:t>
      </w:r>
      <w:r w:rsidRPr="00020288">
        <w:t>provisions</w:t>
      </w:r>
      <w:bookmarkEnd w:id="61"/>
    </w:p>
    <w:p w14:paraId="53AC8968" w14:textId="2DA25059" w:rsidR="00EE3E3E" w:rsidRPr="00E81230" w:rsidRDefault="00EE3E3E" w:rsidP="00EE3E3E">
      <w:pPr>
        <w:pStyle w:val="Normalparatextwithnumbers"/>
        <w:numPr>
          <w:ilvl w:val="1"/>
          <w:numId w:val="6"/>
        </w:numPr>
        <w:rPr>
          <w:rStyle w:val="normaltextrun"/>
        </w:rPr>
      </w:pPr>
      <w:r>
        <w:rPr>
          <w:rStyle w:val="normaltextrun"/>
          <w:color w:val="000000"/>
          <w:shd w:val="clear" w:color="auto" w:fill="FFFFFF"/>
        </w:rPr>
        <w:t>Schedule 1 to the Bill commences on the later of 1 April 2025 and the day after the Bill receives Royal Assent.</w:t>
      </w:r>
      <w:r w:rsidR="002D18AC">
        <w:rPr>
          <w:rStyle w:val="normaltextrun"/>
          <w:color w:val="000000"/>
          <w:shd w:val="clear" w:color="auto" w:fill="FFFFFF"/>
        </w:rPr>
        <w:t xml:space="preserve"> </w:t>
      </w:r>
      <w:r w:rsidR="00B913C7">
        <w:rPr>
          <w:rStyle w:val="normaltextrun"/>
          <w:color w:val="000000"/>
          <w:shd w:val="clear" w:color="auto" w:fill="FFFFFF"/>
        </w:rPr>
        <w:t xml:space="preserve">1 April 2025 is the date the </w:t>
      </w:r>
      <w:r w:rsidR="00617A68">
        <w:t xml:space="preserve">Food and </w:t>
      </w:r>
      <w:r w:rsidR="00B913C7">
        <w:rPr>
          <w:rStyle w:val="normaltextrun"/>
          <w:color w:val="000000"/>
          <w:shd w:val="clear" w:color="auto" w:fill="FFFFFF"/>
        </w:rPr>
        <w:t>Grocery Code and Franchising Code sunset. Both the</w:t>
      </w:r>
      <w:r w:rsidR="00617A68" w:rsidRPr="00617A68">
        <w:t xml:space="preserve"> </w:t>
      </w:r>
      <w:r w:rsidR="00617A68">
        <w:t>Food and</w:t>
      </w:r>
      <w:r w:rsidR="00B913C7">
        <w:rPr>
          <w:rStyle w:val="normaltextrun"/>
          <w:color w:val="000000"/>
          <w:shd w:val="clear" w:color="auto" w:fill="FFFFFF"/>
        </w:rPr>
        <w:t xml:space="preserve"> Grocery Code and Franchising Code are proposed to be remade. </w:t>
      </w:r>
      <w:r w:rsidR="002D18AC">
        <w:rPr>
          <w:rStyle w:val="normaltextrun"/>
          <w:color w:val="000000"/>
          <w:shd w:val="clear" w:color="auto" w:fill="FFFFFF"/>
        </w:rPr>
        <w:t xml:space="preserve"> </w:t>
      </w:r>
    </w:p>
    <w:p w14:paraId="1D20501F" w14:textId="3F99021E" w:rsidR="00EE3E3E" w:rsidRPr="00E81230" w:rsidRDefault="00D02CFE" w:rsidP="00E81230">
      <w:pPr>
        <w:pStyle w:val="Normalparatextwithnumbers"/>
        <w:numPr>
          <w:ilvl w:val="1"/>
          <w:numId w:val="6"/>
        </w:numPr>
        <w:rPr>
          <w:rStyle w:val="normaltextrun"/>
        </w:rPr>
      </w:pPr>
      <w:r w:rsidRPr="00E81230">
        <w:rPr>
          <w:rStyle w:val="normaltextrun"/>
          <w:color w:val="000000"/>
          <w:shd w:val="clear" w:color="auto" w:fill="FFFFFF"/>
        </w:rPr>
        <w:t>Schedule 1 to t</w:t>
      </w:r>
      <w:r w:rsidR="00EE3E3E" w:rsidRPr="00E81230">
        <w:rPr>
          <w:rStyle w:val="normaltextrun"/>
          <w:color w:val="000000"/>
          <w:shd w:val="clear" w:color="auto" w:fill="FFFFFF"/>
        </w:rPr>
        <w:t>he Bill applies from commencement. </w:t>
      </w:r>
      <w:r w:rsidRPr="00E81230">
        <w:rPr>
          <w:rStyle w:val="normaltextrun"/>
          <w:color w:val="000000"/>
          <w:shd w:val="clear" w:color="auto" w:fill="FFFFFF"/>
        </w:rPr>
        <w:t>The amendments</w:t>
      </w:r>
      <w:r w:rsidR="00604499">
        <w:rPr>
          <w:rStyle w:val="normaltextrun"/>
          <w:color w:val="000000"/>
          <w:shd w:val="clear" w:color="auto" w:fill="FFFFFF"/>
        </w:rPr>
        <w:t xml:space="preserve"> to section </w:t>
      </w:r>
      <w:r w:rsidR="00BD3996">
        <w:rPr>
          <w:rStyle w:val="normaltextrun"/>
          <w:color w:val="000000"/>
          <w:shd w:val="clear" w:color="auto" w:fill="FFFFFF"/>
        </w:rPr>
        <w:t>51ACF and 51AE</w:t>
      </w:r>
      <w:r w:rsidRPr="00E81230">
        <w:rPr>
          <w:rStyle w:val="normaltextrun"/>
          <w:color w:val="000000"/>
          <w:shd w:val="clear" w:color="auto" w:fill="FFFFFF"/>
        </w:rPr>
        <w:t xml:space="preserve"> made by </w:t>
      </w:r>
      <w:r w:rsidR="00BD3996">
        <w:rPr>
          <w:rStyle w:val="normaltextrun"/>
          <w:color w:val="000000"/>
          <w:shd w:val="clear" w:color="auto" w:fill="FFFFFF"/>
        </w:rPr>
        <w:t>Part 1</w:t>
      </w:r>
      <w:r w:rsidR="00D161D5">
        <w:rPr>
          <w:rStyle w:val="normaltextrun"/>
          <w:color w:val="000000"/>
          <w:shd w:val="clear" w:color="auto" w:fill="FFFFFF"/>
        </w:rPr>
        <w:t xml:space="preserve"> </w:t>
      </w:r>
      <w:r w:rsidR="00BD3996">
        <w:rPr>
          <w:rStyle w:val="normaltextrun"/>
          <w:color w:val="000000"/>
          <w:shd w:val="clear" w:color="auto" w:fill="FFFFFF"/>
        </w:rPr>
        <w:t xml:space="preserve">of </w:t>
      </w:r>
      <w:r w:rsidRPr="00E81230">
        <w:rPr>
          <w:rStyle w:val="normaltextrun"/>
          <w:color w:val="000000"/>
          <w:shd w:val="clear" w:color="auto" w:fill="FFFFFF"/>
        </w:rPr>
        <w:t xml:space="preserve">Schedule 1 to the Bill apply in relation to contraventions which happen, or are alleged to happen, on or after the day </w:t>
      </w:r>
      <w:r w:rsidR="003A29C0">
        <w:rPr>
          <w:rStyle w:val="normaltextrun"/>
          <w:color w:val="000000"/>
          <w:shd w:val="clear" w:color="auto" w:fill="FFFFFF"/>
        </w:rPr>
        <w:t xml:space="preserve">the </w:t>
      </w:r>
      <w:r w:rsidRPr="00E81230">
        <w:rPr>
          <w:rStyle w:val="normaltextrun"/>
          <w:color w:val="000000"/>
          <w:shd w:val="clear" w:color="auto" w:fill="FFFFFF"/>
        </w:rPr>
        <w:t>Schedule commences.</w:t>
      </w:r>
    </w:p>
    <w:p w14:paraId="4DC91258" w14:textId="5D1F210D" w:rsidR="00D02CFE" w:rsidRPr="00E0430C" w:rsidRDefault="00D02CFE" w:rsidP="00E0430C">
      <w:pPr>
        <w:pStyle w:val="Normalparatextwithnumbers"/>
        <w:numPr>
          <w:ilvl w:val="0"/>
          <w:numId w:val="0"/>
        </w:numPr>
        <w:ind w:left="709"/>
        <w:rPr>
          <w:b/>
          <w:bCs/>
        </w:rPr>
      </w:pPr>
      <w:r w:rsidRPr="00E0430C">
        <w:rPr>
          <w:b/>
          <w:bCs/>
        </w:rPr>
        <w:t>[</w:t>
      </w:r>
      <w:r>
        <w:rPr>
          <w:b/>
          <w:bCs/>
        </w:rPr>
        <w:t xml:space="preserve">Schedule 1, item </w:t>
      </w:r>
      <w:r w:rsidR="00873C6D">
        <w:rPr>
          <w:b/>
          <w:bCs/>
        </w:rPr>
        <w:t>6</w:t>
      </w:r>
      <w:r>
        <w:rPr>
          <w:b/>
          <w:bCs/>
        </w:rPr>
        <w:t>]</w:t>
      </w:r>
    </w:p>
    <w:p w14:paraId="28BFFE01" w14:textId="77777777" w:rsidR="00EE3E3E" w:rsidRPr="006479AC" w:rsidRDefault="00EE3E3E" w:rsidP="00EE3E3E">
      <w:pPr>
        <w:pStyle w:val="Normalparatextnonumbers"/>
      </w:pPr>
    </w:p>
    <w:bookmarkEnd w:id="43"/>
    <w:bookmarkEnd w:id="5"/>
    <w:bookmarkEnd w:id="56"/>
    <w:bookmarkEnd w:id="57"/>
    <w:bookmarkEnd w:id="58"/>
    <w:bookmarkEnd w:id="59"/>
    <w:bookmarkEnd w:id="60"/>
    <w:p w14:paraId="08E26AEF" w14:textId="32C13692" w:rsidR="006A68FD" w:rsidRPr="00EE3E3E" w:rsidRDefault="006A68FD" w:rsidP="009F1FB0">
      <w:pPr>
        <w:pStyle w:val="Normalparatextnonumbers"/>
      </w:pPr>
    </w:p>
    <w:sectPr w:rsidR="006A68FD" w:rsidRPr="00EE3E3E" w:rsidSect="008D5543">
      <w:headerReference w:type="even" r:id="rId24"/>
      <w:headerReference w:type="default" r:id="rId25"/>
      <w:footerReference w:type="even" r:id="rId26"/>
      <w:footerReference w:type="default" r:id="rId27"/>
      <w:headerReference w:type="first" r:id="rId28"/>
      <w:footerReference w:type="first" r:id="rId29"/>
      <w:pgSz w:w="9979" w:h="14175" w:code="9"/>
      <w:pgMar w:top="567"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7F08" w14:textId="77777777" w:rsidR="00016CF2" w:rsidRDefault="00016CF2" w:rsidP="00EE3E3E">
      <w:pPr>
        <w:spacing w:before="0" w:after="0"/>
      </w:pPr>
      <w:r>
        <w:separator/>
      </w:r>
    </w:p>
  </w:endnote>
  <w:endnote w:type="continuationSeparator" w:id="0">
    <w:p w14:paraId="34D75870" w14:textId="77777777" w:rsidR="00016CF2" w:rsidRDefault="00016CF2" w:rsidP="00EE3E3E">
      <w:pPr>
        <w:spacing w:before="0" w:after="0"/>
      </w:pPr>
      <w:r>
        <w:continuationSeparator/>
      </w:r>
    </w:p>
  </w:endnote>
  <w:endnote w:type="continuationNotice" w:id="1">
    <w:p w14:paraId="79148035" w14:textId="77777777" w:rsidR="00016CF2" w:rsidRDefault="00016C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EE3E3E" w14:paraId="229F563F" w14:textId="77777777" w:rsidTr="4AAD7ADA">
      <w:trPr>
        <w:trHeight w:val="300"/>
      </w:trPr>
      <w:tc>
        <w:tcPr>
          <w:tcW w:w="2570" w:type="dxa"/>
        </w:tcPr>
        <w:p w14:paraId="14BFDF0D" w14:textId="6442354C" w:rsidR="00EE3E3E" w:rsidRDefault="00EE3E3E" w:rsidP="4AAD7ADA">
          <w:pPr>
            <w:pStyle w:val="Header"/>
            <w:ind w:left="-115"/>
          </w:pPr>
        </w:p>
      </w:tc>
      <w:tc>
        <w:tcPr>
          <w:tcW w:w="2570" w:type="dxa"/>
        </w:tcPr>
        <w:p w14:paraId="1FDCA42E" w14:textId="77777777" w:rsidR="00EE3E3E" w:rsidRDefault="00EE3E3E" w:rsidP="4AAD7ADA">
          <w:pPr>
            <w:pStyle w:val="Header"/>
            <w:jc w:val="center"/>
          </w:pPr>
        </w:p>
      </w:tc>
      <w:tc>
        <w:tcPr>
          <w:tcW w:w="2570" w:type="dxa"/>
        </w:tcPr>
        <w:p w14:paraId="6E9343DD" w14:textId="77777777" w:rsidR="00EE3E3E" w:rsidRDefault="00EE3E3E" w:rsidP="4AAD7ADA">
          <w:pPr>
            <w:pStyle w:val="Header"/>
            <w:ind w:right="-115"/>
            <w:jc w:val="right"/>
          </w:pPr>
        </w:p>
      </w:tc>
    </w:tr>
  </w:tbl>
  <w:p w14:paraId="55BC6429" w14:textId="77777777" w:rsidR="00EE3E3E" w:rsidRDefault="00EE3E3E" w:rsidP="4AAD7A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2D5" w14:textId="583BDB0F" w:rsidR="00EE3E3E" w:rsidRDefault="00EE3E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77893"/>
      <w:docPartObj>
        <w:docPartGallery w:val="Page Numbers (Bottom of Page)"/>
        <w:docPartUnique/>
      </w:docPartObj>
    </w:sdtPr>
    <w:sdtEndPr>
      <w:rPr>
        <w:noProof/>
      </w:rPr>
    </w:sdtEndPr>
    <w:sdtContent>
      <w:p w14:paraId="597AC137" w14:textId="3FB68DF0" w:rsidR="00776962" w:rsidRDefault="00776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550FC" w14:textId="17E34B56" w:rsidR="00EE3E3E" w:rsidRDefault="00EE3E3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554461"/>
      <w:docPartObj>
        <w:docPartGallery w:val="Page Numbers (Bottom of Page)"/>
        <w:docPartUnique/>
      </w:docPartObj>
    </w:sdtPr>
    <w:sdtEndPr>
      <w:rPr>
        <w:noProof/>
      </w:rPr>
    </w:sdtEndPr>
    <w:sdtContent>
      <w:p w14:paraId="39120D09" w14:textId="0EF6B654" w:rsidR="00776962" w:rsidRDefault="00776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09DA9" w14:textId="73451351" w:rsidR="00EE3E3E" w:rsidRDefault="00EE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EE3E3E" w14:paraId="56CB96EE" w14:textId="77777777" w:rsidTr="4AAD7ADA">
      <w:trPr>
        <w:trHeight w:val="300"/>
      </w:trPr>
      <w:tc>
        <w:tcPr>
          <w:tcW w:w="2570" w:type="dxa"/>
        </w:tcPr>
        <w:p w14:paraId="46595E45" w14:textId="207C868B" w:rsidR="00EE3E3E" w:rsidRDefault="00EE3E3E" w:rsidP="4AAD7ADA">
          <w:pPr>
            <w:pStyle w:val="Header"/>
            <w:ind w:left="-115"/>
          </w:pPr>
        </w:p>
      </w:tc>
      <w:tc>
        <w:tcPr>
          <w:tcW w:w="2570" w:type="dxa"/>
        </w:tcPr>
        <w:p w14:paraId="6D825448" w14:textId="77777777" w:rsidR="00EE3E3E" w:rsidRDefault="00EE3E3E" w:rsidP="4AAD7ADA">
          <w:pPr>
            <w:pStyle w:val="Header"/>
            <w:jc w:val="center"/>
          </w:pPr>
        </w:p>
      </w:tc>
      <w:tc>
        <w:tcPr>
          <w:tcW w:w="2570" w:type="dxa"/>
        </w:tcPr>
        <w:p w14:paraId="3BE8387B" w14:textId="77777777" w:rsidR="00EE3E3E" w:rsidRDefault="00EE3E3E" w:rsidP="4AAD7ADA">
          <w:pPr>
            <w:pStyle w:val="Header"/>
            <w:ind w:right="-115"/>
            <w:jc w:val="right"/>
          </w:pPr>
        </w:p>
      </w:tc>
    </w:tr>
  </w:tbl>
  <w:p w14:paraId="5B6A16E7" w14:textId="77777777" w:rsidR="00EE3E3E" w:rsidRDefault="00EE3E3E" w:rsidP="4AAD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509" w14:textId="1D89598E" w:rsidR="00EE3E3E" w:rsidRDefault="00EE3E3E"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EE3E3E" w14:paraId="1AAEEB67" w14:textId="77777777" w:rsidTr="4AAD7ADA">
      <w:trPr>
        <w:trHeight w:val="300"/>
      </w:trPr>
      <w:tc>
        <w:tcPr>
          <w:tcW w:w="2570" w:type="dxa"/>
        </w:tcPr>
        <w:p w14:paraId="1322011E" w14:textId="2AABEBA9" w:rsidR="00EE3E3E" w:rsidRDefault="00EE3E3E" w:rsidP="4AAD7ADA">
          <w:pPr>
            <w:pStyle w:val="Header"/>
            <w:ind w:left="-115"/>
          </w:pPr>
        </w:p>
      </w:tc>
      <w:tc>
        <w:tcPr>
          <w:tcW w:w="2570" w:type="dxa"/>
        </w:tcPr>
        <w:p w14:paraId="1A91A3D5" w14:textId="77777777" w:rsidR="00EE3E3E" w:rsidRDefault="00EE3E3E" w:rsidP="4AAD7ADA">
          <w:pPr>
            <w:pStyle w:val="Header"/>
            <w:jc w:val="center"/>
          </w:pPr>
        </w:p>
      </w:tc>
      <w:tc>
        <w:tcPr>
          <w:tcW w:w="2570" w:type="dxa"/>
        </w:tcPr>
        <w:p w14:paraId="6046E43D" w14:textId="77777777" w:rsidR="00EE3E3E" w:rsidRDefault="00EE3E3E" w:rsidP="4AAD7ADA">
          <w:pPr>
            <w:pStyle w:val="Header"/>
            <w:ind w:right="-115"/>
            <w:jc w:val="right"/>
          </w:pPr>
        </w:p>
      </w:tc>
    </w:tr>
  </w:tbl>
  <w:p w14:paraId="43898FD5" w14:textId="77777777" w:rsidR="00EE3E3E" w:rsidRDefault="00EE3E3E" w:rsidP="4AAD7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6456" w14:textId="1B1630D9" w:rsidR="00EE3E3E" w:rsidRDefault="00A122D2" w:rsidP="00A122D2">
    <w:pPr>
      <w:pStyle w:val="Footer"/>
      <w:jc w:val="right"/>
    </w:pPr>
    <w:r>
      <w:t>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1426"/>
      <w:docPartObj>
        <w:docPartGallery w:val="Page Numbers (Bottom of Page)"/>
        <w:docPartUnique/>
      </w:docPartObj>
    </w:sdtPr>
    <w:sdtEndPr>
      <w:rPr>
        <w:noProof/>
      </w:rPr>
    </w:sdtEndPr>
    <w:sdtContent>
      <w:p w14:paraId="0FBE1437" w14:textId="0DCDDE00" w:rsidR="003424AE" w:rsidRDefault="00342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9F7BC6" w14:textId="466A5B58" w:rsidR="00EE3E3E" w:rsidRPr="004D61CF" w:rsidRDefault="00EE3E3E" w:rsidP="002425D9">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0EE3E3E" w14:paraId="3A561A62" w14:textId="77777777" w:rsidTr="4AAD7ADA">
      <w:trPr>
        <w:trHeight w:val="300"/>
      </w:trPr>
      <w:tc>
        <w:tcPr>
          <w:tcW w:w="2570" w:type="dxa"/>
        </w:tcPr>
        <w:p w14:paraId="20704C42" w14:textId="0D9866C9" w:rsidR="00EE3E3E" w:rsidRDefault="00EE3E3E" w:rsidP="4AAD7ADA">
          <w:pPr>
            <w:pStyle w:val="Header"/>
            <w:ind w:left="-115"/>
          </w:pPr>
        </w:p>
      </w:tc>
      <w:tc>
        <w:tcPr>
          <w:tcW w:w="2570" w:type="dxa"/>
        </w:tcPr>
        <w:p w14:paraId="0F2A45AA" w14:textId="77777777" w:rsidR="00EE3E3E" w:rsidRDefault="00EE3E3E" w:rsidP="4AAD7ADA">
          <w:pPr>
            <w:pStyle w:val="Header"/>
            <w:jc w:val="center"/>
          </w:pPr>
        </w:p>
      </w:tc>
      <w:tc>
        <w:tcPr>
          <w:tcW w:w="2570" w:type="dxa"/>
        </w:tcPr>
        <w:p w14:paraId="63BF3B62" w14:textId="77777777" w:rsidR="00EE3E3E" w:rsidRDefault="00EE3E3E" w:rsidP="4AAD7ADA">
          <w:pPr>
            <w:pStyle w:val="Header"/>
            <w:ind w:right="-115"/>
            <w:jc w:val="right"/>
          </w:pPr>
        </w:p>
      </w:tc>
    </w:tr>
  </w:tbl>
  <w:p w14:paraId="143EFE24" w14:textId="77777777" w:rsidR="00EE3E3E" w:rsidRDefault="00EE3E3E" w:rsidP="4AAD7A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403281"/>
      <w:docPartObj>
        <w:docPartGallery w:val="Page Numbers (Bottom of Page)"/>
        <w:docPartUnique/>
      </w:docPartObj>
    </w:sdtPr>
    <w:sdtEndPr>
      <w:rPr>
        <w:noProof/>
      </w:rPr>
    </w:sdtEndPr>
    <w:sdtContent>
      <w:p w14:paraId="62F9CC71" w14:textId="5AAC5385" w:rsidR="00776962" w:rsidRDefault="00776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E84BB6" w14:textId="77777777" w:rsidR="00EE3E3E" w:rsidRDefault="00EE3E3E" w:rsidP="4AAD7AD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7650" w14:textId="0B4FC07E" w:rsidR="00EE3E3E" w:rsidRPr="00091474" w:rsidRDefault="00EE3E3E"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5AC3" w14:textId="77777777" w:rsidR="00016CF2" w:rsidRDefault="00016CF2" w:rsidP="00EE3E3E">
      <w:pPr>
        <w:spacing w:before="0" w:after="0"/>
      </w:pPr>
      <w:r>
        <w:separator/>
      </w:r>
    </w:p>
  </w:footnote>
  <w:footnote w:type="continuationSeparator" w:id="0">
    <w:p w14:paraId="23A8B862" w14:textId="77777777" w:rsidR="00016CF2" w:rsidRDefault="00016CF2" w:rsidP="00EE3E3E">
      <w:pPr>
        <w:spacing w:before="0" w:after="0"/>
      </w:pPr>
      <w:r>
        <w:continuationSeparator/>
      </w:r>
    </w:p>
  </w:footnote>
  <w:footnote w:type="continuationNotice" w:id="1">
    <w:p w14:paraId="603B2F70" w14:textId="77777777" w:rsidR="00016CF2" w:rsidRDefault="00016C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444" w14:textId="4A71ED39" w:rsidR="00EE3E3E" w:rsidRDefault="00EE3E3E">
    <w:pPr>
      <w:pStyle w:val="Header"/>
    </w:pPr>
  </w:p>
  <w:sdt>
    <w:sdtPr>
      <w:id w:val="-2071182601"/>
      <w:docPartObj>
        <w:docPartGallery w:val="Watermarks"/>
      </w:docPartObj>
    </w:sdtPr>
    <w:sdtEndPr/>
    <w:sdtContent>
      <w:p w14:paraId="7EFF4819" w14:textId="77777777" w:rsidR="00EE3E3E" w:rsidRDefault="00A0214E">
        <w:pPr>
          <w:pStyle w:val="Header"/>
        </w:pPr>
        <w:r>
          <w:rPr>
            <w:noProof/>
          </w:rPr>
          <w:pict w14:anchorId="1E24E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6A7" w14:textId="1789BE7E" w:rsidR="003C34A8" w:rsidRDefault="003C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FBFD" w14:textId="3ED3E89B" w:rsidR="00EE3E3E" w:rsidRPr="009106AC" w:rsidRDefault="00EE3E3E"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A9A9" w14:textId="27463E07" w:rsidR="00EE3E3E" w:rsidRPr="0070093E" w:rsidRDefault="00EE3E3E" w:rsidP="002425D9">
    <w:pPr>
      <w:pStyle w:val="rightheader"/>
      <w:ind w:firstLine="720"/>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A3D8" w14:textId="77E5B313" w:rsidR="00EE3E3E" w:rsidRDefault="00EE3E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B2A" w14:textId="64C6DC3F" w:rsidR="00EE3E3E" w:rsidRPr="00816825" w:rsidRDefault="00A0214E" w:rsidP="002425D9">
    <w:pPr>
      <w:pStyle w:val="leftheader"/>
    </w:pPr>
    <w:r>
      <w:fldChar w:fldCharType="begin"/>
    </w:r>
    <w:r>
      <w:instrText>STYLEREF  "Heading 1"  \* MERGEFORMAT</w:instrText>
    </w:r>
    <w:r>
      <w:fldChar w:fldCharType="separate"/>
    </w:r>
    <w:r w:rsidR="002E7611">
      <w:rPr>
        <w:noProof/>
      </w:rPr>
      <w:t>Glossary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DDBB" w14:textId="7F56E0F6" w:rsidR="00EE3E3E" w:rsidRPr="00091474" w:rsidRDefault="00EE3E3E"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DF6A" w14:textId="5886CF6C" w:rsidR="00EE3E3E" w:rsidRDefault="00EE3E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E471" w14:textId="143BE32C" w:rsidR="003C34A8" w:rsidRDefault="003C34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B7C" w14:textId="55D74FB3" w:rsidR="003C34A8" w:rsidRDefault="003C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3E0976"/>
    <w:multiLevelType w:val="hybridMultilevel"/>
    <w:tmpl w:val="4F6AF7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23192C3F"/>
    <w:multiLevelType w:val="hybridMultilevel"/>
    <w:tmpl w:val="E1C62B38"/>
    <w:lvl w:ilvl="0" w:tplc="5EB6EAD0">
      <w:numFmt w:val="bullet"/>
      <w:lvlText w:val="-"/>
      <w:lvlJc w:val="left"/>
      <w:pPr>
        <w:ind w:left="394" w:hanging="360"/>
      </w:pPr>
      <w:rPr>
        <w:rFonts w:ascii="Times New Roman" w:eastAsia="Times New Roman" w:hAnsi="Times New Roman" w:cs="Times New Roman"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A5DDE"/>
    <w:multiLevelType w:val="multilevel"/>
    <w:tmpl w:val="3E4C75E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5D2CC9"/>
    <w:multiLevelType w:val="multilevel"/>
    <w:tmpl w:val="2B0E2B2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0" w15:restartNumberingAfterBreak="0">
    <w:nsid w:val="59456C16"/>
    <w:multiLevelType w:val="multilevel"/>
    <w:tmpl w:val="93EE8D54"/>
    <w:lvl w:ilvl="0">
      <w:start w:val="1"/>
      <w:numFmt w:val="bullet"/>
      <w:lvlText w:val=""/>
      <w:lvlJc w:val="left"/>
      <w:pPr>
        <w:tabs>
          <w:tab w:val="num" w:pos="1229"/>
        </w:tabs>
        <w:ind w:left="1229" w:hanging="520"/>
      </w:pPr>
      <w:rPr>
        <w:rFonts w:ascii="Symbol" w:hAnsi="Symbol" w:hint="default"/>
      </w:rPr>
    </w:lvl>
    <w:lvl w:ilvl="1">
      <w:start w:val="1"/>
      <w:numFmt w:val="bullet"/>
      <w:lvlText w:val="–"/>
      <w:lvlJc w:val="left"/>
      <w:pPr>
        <w:tabs>
          <w:tab w:val="num" w:pos="1749"/>
        </w:tabs>
        <w:ind w:left="1749" w:hanging="520"/>
      </w:pPr>
      <w:rPr>
        <w:rFonts w:ascii="Times New Roman" w:hAnsi="Times New Roman" w:cs="Times New Roman"/>
      </w:rPr>
    </w:lvl>
    <w:lvl w:ilvl="2">
      <w:start w:val="1"/>
      <w:numFmt w:val="bullet"/>
      <w:lvlText w:val=":"/>
      <w:lvlJc w:val="left"/>
      <w:pPr>
        <w:tabs>
          <w:tab w:val="num" w:pos="2269"/>
        </w:tabs>
        <w:ind w:left="2269" w:hanging="520"/>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5"/>
  </w:num>
  <w:num w:numId="3" w16cid:durableId="1829707682">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5"/>
  </w:num>
  <w:num w:numId="7" w16cid:durableId="102290195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6"/>
  </w:num>
  <w:num w:numId="9" w16cid:durableId="911041120">
    <w:abstractNumId w:val="17"/>
  </w:num>
  <w:num w:numId="10" w16cid:durableId="2017876939">
    <w:abstractNumId w:val="11"/>
  </w:num>
  <w:num w:numId="11" w16cid:durableId="679544403">
    <w:abstractNumId w:val="9"/>
  </w:num>
  <w:num w:numId="12" w16cid:durableId="974681568">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48515472">
    <w:abstractNumId w:val="13"/>
  </w:num>
  <w:num w:numId="14" w16cid:durableId="407070147">
    <w:abstractNumId w:val="14"/>
  </w:num>
  <w:num w:numId="15" w16cid:durableId="1102265301">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680205999">
    <w:abstractNumId w:val="2"/>
  </w:num>
  <w:num w:numId="17" w16cid:durableId="1491290959">
    <w:abstractNumId w:val="12"/>
  </w:num>
  <w:num w:numId="18" w16cid:durableId="1101536722">
    <w:abstractNumId w:val="16"/>
  </w:num>
  <w:num w:numId="19" w16cid:durableId="397169042">
    <w:abstractNumId w:val="1"/>
  </w:num>
  <w:num w:numId="20" w16cid:durableId="785856834">
    <w:abstractNumId w:val="8"/>
  </w:num>
  <w:num w:numId="21" w16cid:durableId="287398174">
    <w:abstractNumId w:val="4"/>
  </w:num>
  <w:num w:numId="22" w16cid:durableId="1019619183">
    <w:abstractNumId w:val="3"/>
  </w:num>
  <w:num w:numId="23" w16cid:durableId="1350062533">
    <w:abstractNumId w:val="10"/>
  </w:num>
  <w:num w:numId="24" w16cid:durableId="654920915">
    <w:abstractNumId w:val="6"/>
  </w:num>
  <w:num w:numId="25" w16cid:durableId="1171142929">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16cid:durableId="1953434229">
    <w:abstractNumId w:val="6"/>
  </w:num>
  <w:num w:numId="27" w16cid:durableId="1035808146">
    <w:abstractNumId w:val="6"/>
  </w:num>
  <w:num w:numId="28" w16cid:durableId="1838230960">
    <w:abstractNumId w:val="6"/>
  </w:num>
  <w:num w:numId="29" w16cid:durableId="763308604">
    <w:abstractNumId w:val="6"/>
  </w:num>
  <w:num w:numId="30" w16cid:durableId="755521538">
    <w:abstractNumId w:val="6"/>
  </w:num>
  <w:num w:numId="31" w16cid:durableId="1189568117">
    <w:abstractNumId w:val="6"/>
  </w:num>
  <w:num w:numId="32" w16cid:durableId="1296449877">
    <w:abstractNumId w:val="6"/>
  </w:num>
  <w:num w:numId="33" w16cid:durableId="705132383">
    <w:abstractNumId w:val="6"/>
  </w:num>
  <w:num w:numId="34" w16cid:durableId="38823316">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16cid:durableId="576014913">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16cid:durableId="167601088">
    <w:abstractNumId w:val="7"/>
  </w:num>
  <w:num w:numId="37" w16cid:durableId="301085062">
    <w:abstractNumId w:val="6"/>
  </w:num>
  <w:num w:numId="38" w16cid:durableId="1619071550">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16cid:durableId="825902673">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769302232">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196858439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1403671946">
    <w:abstractNumId w:val="6"/>
  </w:num>
  <w:num w:numId="43" w16cid:durableId="1419667876">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16cid:durableId="91367470">
    <w:abstractNumId w:val="6"/>
  </w:num>
  <w:num w:numId="45" w16cid:durableId="356583266">
    <w:abstractNumId w:val="6"/>
  </w:num>
  <w:num w:numId="46" w16cid:durableId="959457586">
    <w:abstractNumId w:val="6"/>
  </w:num>
  <w:num w:numId="47" w16cid:durableId="2124886189">
    <w:abstractNumId w:val="6"/>
  </w:num>
  <w:num w:numId="48" w16cid:durableId="49318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E"/>
    <w:rsid w:val="00000004"/>
    <w:rsid w:val="00000C42"/>
    <w:rsid w:val="00001FED"/>
    <w:rsid w:val="00002528"/>
    <w:rsid w:val="000059D7"/>
    <w:rsid w:val="00006708"/>
    <w:rsid w:val="0001138B"/>
    <w:rsid w:val="00011683"/>
    <w:rsid w:val="000116F8"/>
    <w:rsid w:val="00015649"/>
    <w:rsid w:val="00016CF2"/>
    <w:rsid w:val="000176D8"/>
    <w:rsid w:val="000215AB"/>
    <w:rsid w:val="0002728F"/>
    <w:rsid w:val="00027EE8"/>
    <w:rsid w:val="0003189A"/>
    <w:rsid w:val="00033E5D"/>
    <w:rsid w:val="000356A2"/>
    <w:rsid w:val="00037FA5"/>
    <w:rsid w:val="00040043"/>
    <w:rsid w:val="00040C83"/>
    <w:rsid w:val="0004415C"/>
    <w:rsid w:val="0004500C"/>
    <w:rsid w:val="0004536B"/>
    <w:rsid w:val="000462D9"/>
    <w:rsid w:val="000506AA"/>
    <w:rsid w:val="000511EB"/>
    <w:rsid w:val="00051783"/>
    <w:rsid w:val="000544FD"/>
    <w:rsid w:val="0005515C"/>
    <w:rsid w:val="00056466"/>
    <w:rsid w:val="00057B0D"/>
    <w:rsid w:val="0006298A"/>
    <w:rsid w:val="000637E0"/>
    <w:rsid w:val="000666E1"/>
    <w:rsid w:val="00066B96"/>
    <w:rsid w:val="00066E94"/>
    <w:rsid w:val="00067D77"/>
    <w:rsid w:val="000760A8"/>
    <w:rsid w:val="00076E70"/>
    <w:rsid w:val="00080759"/>
    <w:rsid w:val="00082FDC"/>
    <w:rsid w:val="00084351"/>
    <w:rsid w:val="00084889"/>
    <w:rsid w:val="0008488E"/>
    <w:rsid w:val="00085AA0"/>
    <w:rsid w:val="00086397"/>
    <w:rsid w:val="00086AB6"/>
    <w:rsid w:val="000871F4"/>
    <w:rsid w:val="00087544"/>
    <w:rsid w:val="00092BEC"/>
    <w:rsid w:val="00092C80"/>
    <w:rsid w:val="0009454C"/>
    <w:rsid w:val="0009482F"/>
    <w:rsid w:val="000953A8"/>
    <w:rsid w:val="00095B4A"/>
    <w:rsid w:val="00096E13"/>
    <w:rsid w:val="000A39C7"/>
    <w:rsid w:val="000A3F1F"/>
    <w:rsid w:val="000A4C3B"/>
    <w:rsid w:val="000A5DDF"/>
    <w:rsid w:val="000A6252"/>
    <w:rsid w:val="000A6DCF"/>
    <w:rsid w:val="000B06BE"/>
    <w:rsid w:val="000B2288"/>
    <w:rsid w:val="000B585A"/>
    <w:rsid w:val="000B5C19"/>
    <w:rsid w:val="000C43FB"/>
    <w:rsid w:val="000C468F"/>
    <w:rsid w:val="000C498E"/>
    <w:rsid w:val="000C4C7B"/>
    <w:rsid w:val="000C5819"/>
    <w:rsid w:val="000D0444"/>
    <w:rsid w:val="000D2E18"/>
    <w:rsid w:val="000D6BDC"/>
    <w:rsid w:val="000E0A08"/>
    <w:rsid w:val="000E2B2B"/>
    <w:rsid w:val="000F0231"/>
    <w:rsid w:val="000F2718"/>
    <w:rsid w:val="000F3CB6"/>
    <w:rsid w:val="000F4575"/>
    <w:rsid w:val="000F6590"/>
    <w:rsid w:val="000F7BE5"/>
    <w:rsid w:val="00101131"/>
    <w:rsid w:val="0010164C"/>
    <w:rsid w:val="00101697"/>
    <w:rsid w:val="00104A22"/>
    <w:rsid w:val="00107234"/>
    <w:rsid w:val="00107A8E"/>
    <w:rsid w:val="00107D45"/>
    <w:rsid w:val="0011110D"/>
    <w:rsid w:val="00111586"/>
    <w:rsid w:val="0011480A"/>
    <w:rsid w:val="00117B4A"/>
    <w:rsid w:val="00117CFF"/>
    <w:rsid w:val="00121687"/>
    <w:rsid w:val="00122779"/>
    <w:rsid w:val="00132D12"/>
    <w:rsid w:val="0013376D"/>
    <w:rsid w:val="00134E8E"/>
    <w:rsid w:val="00134EB9"/>
    <w:rsid w:val="001354B9"/>
    <w:rsid w:val="00136818"/>
    <w:rsid w:val="00137F9A"/>
    <w:rsid w:val="00147B28"/>
    <w:rsid w:val="001517E8"/>
    <w:rsid w:val="00151813"/>
    <w:rsid w:val="001523FB"/>
    <w:rsid w:val="00153B56"/>
    <w:rsid w:val="001548A3"/>
    <w:rsid w:val="001554ED"/>
    <w:rsid w:val="00155E3E"/>
    <w:rsid w:val="00156B1D"/>
    <w:rsid w:val="00156B7A"/>
    <w:rsid w:val="0015740A"/>
    <w:rsid w:val="00165A11"/>
    <w:rsid w:val="00165B5E"/>
    <w:rsid w:val="00166B45"/>
    <w:rsid w:val="0016769D"/>
    <w:rsid w:val="00167E7D"/>
    <w:rsid w:val="0017008B"/>
    <w:rsid w:val="001703C8"/>
    <w:rsid w:val="00170FD0"/>
    <w:rsid w:val="001721BD"/>
    <w:rsid w:val="001750C1"/>
    <w:rsid w:val="00175CF7"/>
    <w:rsid w:val="001804DD"/>
    <w:rsid w:val="00181E4D"/>
    <w:rsid w:val="001828BA"/>
    <w:rsid w:val="00184949"/>
    <w:rsid w:val="0019050B"/>
    <w:rsid w:val="00190AEF"/>
    <w:rsid w:val="001940F4"/>
    <w:rsid w:val="001952DB"/>
    <w:rsid w:val="001A0788"/>
    <w:rsid w:val="001A0A4F"/>
    <w:rsid w:val="001A31E6"/>
    <w:rsid w:val="001A7621"/>
    <w:rsid w:val="001B1BC8"/>
    <w:rsid w:val="001B28B3"/>
    <w:rsid w:val="001B29D9"/>
    <w:rsid w:val="001C0EA8"/>
    <w:rsid w:val="001C1AE7"/>
    <w:rsid w:val="001C788D"/>
    <w:rsid w:val="001D005B"/>
    <w:rsid w:val="001D10C6"/>
    <w:rsid w:val="001D4AC3"/>
    <w:rsid w:val="001D730A"/>
    <w:rsid w:val="001E04DF"/>
    <w:rsid w:val="001E0E2B"/>
    <w:rsid w:val="001F06CD"/>
    <w:rsid w:val="001F18CD"/>
    <w:rsid w:val="001F2D31"/>
    <w:rsid w:val="001F3035"/>
    <w:rsid w:val="001F3772"/>
    <w:rsid w:val="001F4BAD"/>
    <w:rsid w:val="001F6E39"/>
    <w:rsid w:val="00201525"/>
    <w:rsid w:val="0020433F"/>
    <w:rsid w:val="00205FE0"/>
    <w:rsid w:val="0020659C"/>
    <w:rsid w:val="00206961"/>
    <w:rsid w:val="002127EC"/>
    <w:rsid w:val="002140EE"/>
    <w:rsid w:val="00214B79"/>
    <w:rsid w:val="002172EE"/>
    <w:rsid w:val="00220741"/>
    <w:rsid w:val="00222AC9"/>
    <w:rsid w:val="00223537"/>
    <w:rsid w:val="00223F04"/>
    <w:rsid w:val="002249AC"/>
    <w:rsid w:val="00225131"/>
    <w:rsid w:val="002261BB"/>
    <w:rsid w:val="00226458"/>
    <w:rsid w:val="00230AAA"/>
    <w:rsid w:val="00232465"/>
    <w:rsid w:val="00232930"/>
    <w:rsid w:val="0023482C"/>
    <w:rsid w:val="00235E03"/>
    <w:rsid w:val="00236408"/>
    <w:rsid w:val="0023689E"/>
    <w:rsid w:val="00237EBF"/>
    <w:rsid w:val="00240D3C"/>
    <w:rsid w:val="002427B8"/>
    <w:rsid w:val="00242C43"/>
    <w:rsid w:val="00245C06"/>
    <w:rsid w:val="00245DCC"/>
    <w:rsid w:val="00251202"/>
    <w:rsid w:val="00251E90"/>
    <w:rsid w:val="00252D54"/>
    <w:rsid w:val="00253BAD"/>
    <w:rsid w:val="00254074"/>
    <w:rsid w:val="00254905"/>
    <w:rsid w:val="00257866"/>
    <w:rsid w:val="002607CE"/>
    <w:rsid w:val="00260B66"/>
    <w:rsid w:val="002616A5"/>
    <w:rsid w:val="002622DD"/>
    <w:rsid w:val="00262324"/>
    <w:rsid w:val="002624A9"/>
    <w:rsid w:val="00263E73"/>
    <w:rsid w:val="00264258"/>
    <w:rsid w:val="00264C9E"/>
    <w:rsid w:val="002655EB"/>
    <w:rsid w:val="002672A6"/>
    <w:rsid w:val="002724D2"/>
    <w:rsid w:val="00276174"/>
    <w:rsid w:val="0028259D"/>
    <w:rsid w:val="00283734"/>
    <w:rsid w:val="002904CF"/>
    <w:rsid w:val="00290F0B"/>
    <w:rsid w:val="00293ACC"/>
    <w:rsid w:val="00295032"/>
    <w:rsid w:val="00296137"/>
    <w:rsid w:val="002A0D3C"/>
    <w:rsid w:val="002A52BA"/>
    <w:rsid w:val="002A5B8E"/>
    <w:rsid w:val="002B21F6"/>
    <w:rsid w:val="002B3C3B"/>
    <w:rsid w:val="002C1EFB"/>
    <w:rsid w:val="002C2435"/>
    <w:rsid w:val="002C3E32"/>
    <w:rsid w:val="002C4218"/>
    <w:rsid w:val="002C5F05"/>
    <w:rsid w:val="002C7FCF"/>
    <w:rsid w:val="002D18AC"/>
    <w:rsid w:val="002D21A2"/>
    <w:rsid w:val="002D29C7"/>
    <w:rsid w:val="002D2D80"/>
    <w:rsid w:val="002D38EF"/>
    <w:rsid w:val="002D472F"/>
    <w:rsid w:val="002D4E88"/>
    <w:rsid w:val="002D5889"/>
    <w:rsid w:val="002D6B4B"/>
    <w:rsid w:val="002E02A9"/>
    <w:rsid w:val="002E1E47"/>
    <w:rsid w:val="002E3D48"/>
    <w:rsid w:val="002E4DC5"/>
    <w:rsid w:val="002E7611"/>
    <w:rsid w:val="002F1E60"/>
    <w:rsid w:val="002F3102"/>
    <w:rsid w:val="002F62AB"/>
    <w:rsid w:val="002F77E0"/>
    <w:rsid w:val="003000FC"/>
    <w:rsid w:val="003029E0"/>
    <w:rsid w:val="003051DD"/>
    <w:rsid w:val="00305561"/>
    <w:rsid w:val="0030590A"/>
    <w:rsid w:val="0030595A"/>
    <w:rsid w:val="003062AA"/>
    <w:rsid w:val="0030766B"/>
    <w:rsid w:val="003110FF"/>
    <w:rsid w:val="00313033"/>
    <w:rsid w:val="00314ED9"/>
    <w:rsid w:val="003175F4"/>
    <w:rsid w:val="00317743"/>
    <w:rsid w:val="0032018E"/>
    <w:rsid w:val="00320F80"/>
    <w:rsid w:val="00321963"/>
    <w:rsid w:val="00322E96"/>
    <w:rsid w:val="0032489F"/>
    <w:rsid w:val="00325275"/>
    <w:rsid w:val="003323EE"/>
    <w:rsid w:val="0033253E"/>
    <w:rsid w:val="0033703D"/>
    <w:rsid w:val="00337ADE"/>
    <w:rsid w:val="00337C3B"/>
    <w:rsid w:val="003424AE"/>
    <w:rsid w:val="00343BBE"/>
    <w:rsid w:val="003448D0"/>
    <w:rsid w:val="00344EAA"/>
    <w:rsid w:val="003456B0"/>
    <w:rsid w:val="00345C28"/>
    <w:rsid w:val="00346273"/>
    <w:rsid w:val="00350034"/>
    <w:rsid w:val="003507AF"/>
    <w:rsid w:val="003524D5"/>
    <w:rsid w:val="00352A1F"/>
    <w:rsid w:val="003576FA"/>
    <w:rsid w:val="00361A53"/>
    <w:rsid w:val="0036346C"/>
    <w:rsid w:val="00363A44"/>
    <w:rsid w:val="00365D4C"/>
    <w:rsid w:val="003672C6"/>
    <w:rsid w:val="00370B55"/>
    <w:rsid w:val="0037451C"/>
    <w:rsid w:val="003764AD"/>
    <w:rsid w:val="003770FB"/>
    <w:rsid w:val="00380713"/>
    <w:rsid w:val="003825C8"/>
    <w:rsid w:val="0038545B"/>
    <w:rsid w:val="003869DF"/>
    <w:rsid w:val="00387780"/>
    <w:rsid w:val="00387CF3"/>
    <w:rsid w:val="003906C3"/>
    <w:rsid w:val="003918ED"/>
    <w:rsid w:val="0039318F"/>
    <w:rsid w:val="00396EE0"/>
    <w:rsid w:val="00397923"/>
    <w:rsid w:val="003A07F4"/>
    <w:rsid w:val="003A09FF"/>
    <w:rsid w:val="003A29C0"/>
    <w:rsid w:val="003B110C"/>
    <w:rsid w:val="003B29AC"/>
    <w:rsid w:val="003B3B03"/>
    <w:rsid w:val="003B4AEE"/>
    <w:rsid w:val="003B5F1C"/>
    <w:rsid w:val="003B666B"/>
    <w:rsid w:val="003B72E2"/>
    <w:rsid w:val="003C1684"/>
    <w:rsid w:val="003C1D92"/>
    <w:rsid w:val="003C305B"/>
    <w:rsid w:val="003C34A8"/>
    <w:rsid w:val="003C5AC3"/>
    <w:rsid w:val="003C7D48"/>
    <w:rsid w:val="003D095B"/>
    <w:rsid w:val="003D4740"/>
    <w:rsid w:val="003D75F2"/>
    <w:rsid w:val="003D7ECA"/>
    <w:rsid w:val="003E018E"/>
    <w:rsid w:val="003E3EBA"/>
    <w:rsid w:val="003F05CF"/>
    <w:rsid w:val="003F0C47"/>
    <w:rsid w:val="003F2174"/>
    <w:rsid w:val="003F2A57"/>
    <w:rsid w:val="003F2B13"/>
    <w:rsid w:val="003F4BE9"/>
    <w:rsid w:val="003F6AFA"/>
    <w:rsid w:val="003F72FC"/>
    <w:rsid w:val="003F7A76"/>
    <w:rsid w:val="004017DF"/>
    <w:rsid w:val="00402011"/>
    <w:rsid w:val="004029AD"/>
    <w:rsid w:val="004047B0"/>
    <w:rsid w:val="00405A07"/>
    <w:rsid w:val="00412EC4"/>
    <w:rsid w:val="0041402B"/>
    <w:rsid w:val="0041780E"/>
    <w:rsid w:val="00422C01"/>
    <w:rsid w:val="00425229"/>
    <w:rsid w:val="004317E7"/>
    <w:rsid w:val="0043275C"/>
    <w:rsid w:val="00433D82"/>
    <w:rsid w:val="004344EC"/>
    <w:rsid w:val="00441906"/>
    <w:rsid w:val="00441B72"/>
    <w:rsid w:val="004439A5"/>
    <w:rsid w:val="004443F8"/>
    <w:rsid w:val="00444B1A"/>
    <w:rsid w:val="0044710D"/>
    <w:rsid w:val="00453031"/>
    <w:rsid w:val="00453F2D"/>
    <w:rsid w:val="00461C97"/>
    <w:rsid w:val="00462E37"/>
    <w:rsid w:val="00463264"/>
    <w:rsid w:val="00465BCE"/>
    <w:rsid w:val="004661E9"/>
    <w:rsid w:val="00474149"/>
    <w:rsid w:val="00474D8F"/>
    <w:rsid w:val="004766DE"/>
    <w:rsid w:val="00476A2B"/>
    <w:rsid w:val="0048038D"/>
    <w:rsid w:val="004824C4"/>
    <w:rsid w:val="0048474F"/>
    <w:rsid w:val="004850FB"/>
    <w:rsid w:val="00486669"/>
    <w:rsid w:val="00487688"/>
    <w:rsid w:val="0048796A"/>
    <w:rsid w:val="00494BA6"/>
    <w:rsid w:val="004957F7"/>
    <w:rsid w:val="00495DB2"/>
    <w:rsid w:val="004A01E3"/>
    <w:rsid w:val="004A176F"/>
    <w:rsid w:val="004A29CD"/>
    <w:rsid w:val="004A4947"/>
    <w:rsid w:val="004A51CC"/>
    <w:rsid w:val="004A5744"/>
    <w:rsid w:val="004A7555"/>
    <w:rsid w:val="004A77A6"/>
    <w:rsid w:val="004B064F"/>
    <w:rsid w:val="004B195E"/>
    <w:rsid w:val="004B1F7C"/>
    <w:rsid w:val="004B3A5B"/>
    <w:rsid w:val="004B4B66"/>
    <w:rsid w:val="004B52E1"/>
    <w:rsid w:val="004B6C4E"/>
    <w:rsid w:val="004B6C8B"/>
    <w:rsid w:val="004B72A3"/>
    <w:rsid w:val="004B7421"/>
    <w:rsid w:val="004C325A"/>
    <w:rsid w:val="004C362E"/>
    <w:rsid w:val="004C45BB"/>
    <w:rsid w:val="004C5699"/>
    <w:rsid w:val="004D0059"/>
    <w:rsid w:val="004D14C9"/>
    <w:rsid w:val="004D167D"/>
    <w:rsid w:val="004D2BC9"/>
    <w:rsid w:val="004D310F"/>
    <w:rsid w:val="004D3CA5"/>
    <w:rsid w:val="004D457E"/>
    <w:rsid w:val="004D5EBC"/>
    <w:rsid w:val="004D7AB6"/>
    <w:rsid w:val="004E0BC1"/>
    <w:rsid w:val="004E3ED8"/>
    <w:rsid w:val="004E576C"/>
    <w:rsid w:val="004E6272"/>
    <w:rsid w:val="004E7352"/>
    <w:rsid w:val="004E7BF4"/>
    <w:rsid w:val="004F0DA2"/>
    <w:rsid w:val="004F5C60"/>
    <w:rsid w:val="0050020C"/>
    <w:rsid w:val="00500603"/>
    <w:rsid w:val="00501544"/>
    <w:rsid w:val="00501BF7"/>
    <w:rsid w:val="00503633"/>
    <w:rsid w:val="00503AC1"/>
    <w:rsid w:val="005055BC"/>
    <w:rsid w:val="00512D7C"/>
    <w:rsid w:val="005130BA"/>
    <w:rsid w:val="00513BE5"/>
    <w:rsid w:val="00513C6E"/>
    <w:rsid w:val="0051419B"/>
    <w:rsid w:val="0051560B"/>
    <w:rsid w:val="00517BA0"/>
    <w:rsid w:val="0052044C"/>
    <w:rsid w:val="005205C2"/>
    <w:rsid w:val="00520618"/>
    <w:rsid w:val="0052230F"/>
    <w:rsid w:val="00522D63"/>
    <w:rsid w:val="00524AFB"/>
    <w:rsid w:val="00527D78"/>
    <w:rsid w:val="00531BCD"/>
    <w:rsid w:val="00532F2A"/>
    <w:rsid w:val="0053497A"/>
    <w:rsid w:val="00537427"/>
    <w:rsid w:val="00540290"/>
    <w:rsid w:val="00540EAB"/>
    <w:rsid w:val="00541D00"/>
    <w:rsid w:val="005443A3"/>
    <w:rsid w:val="00544913"/>
    <w:rsid w:val="00545778"/>
    <w:rsid w:val="00546D69"/>
    <w:rsid w:val="0054705E"/>
    <w:rsid w:val="00547F41"/>
    <w:rsid w:val="005544E8"/>
    <w:rsid w:val="00554A00"/>
    <w:rsid w:val="00555AD4"/>
    <w:rsid w:val="00555B12"/>
    <w:rsid w:val="00556759"/>
    <w:rsid w:val="0055702A"/>
    <w:rsid w:val="00560009"/>
    <w:rsid w:val="005615BB"/>
    <w:rsid w:val="00562362"/>
    <w:rsid w:val="00562A94"/>
    <w:rsid w:val="00562C9B"/>
    <w:rsid w:val="00563E4B"/>
    <w:rsid w:val="0056519E"/>
    <w:rsid w:val="00565D57"/>
    <w:rsid w:val="0056626B"/>
    <w:rsid w:val="00572E2B"/>
    <w:rsid w:val="00573DD6"/>
    <w:rsid w:val="00577B73"/>
    <w:rsid w:val="00577D05"/>
    <w:rsid w:val="005829D4"/>
    <w:rsid w:val="0058372F"/>
    <w:rsid w:val="00583B7C"/>
    <w:rsid w:val="00583EB8"/>
    <w:rsid w:val="00584770"/>
    <w:rsid w:val="00585C06"/>
    <w:rsid w:val="00587D8B"/>
    <w:rsid w:val="00590233"/>
    <w:rsid w:val="005905EC"/>
    <w:rsid w:val="00593811"/>
    <w:rsid w:val="005958AA"/>
    <w:rsid w:val="00595D50"/>
    <w:rsid w:val="00596BAF"/>
    <w:rsid w:val="00597298"/>
    <w:rsid w:val="005A24FD"/>
    <w:rsid w:val="005A6A8E"/>
    <w:rsid w:val="005A6D05"/>
    <w:rsid w:val="005A76C8"/>
    <w:rsid w:val="005A7753"/>
    <w:rsid w:val="005B01B2"/>
    <w:rsid w:val="005B01B4"/>
    <w:rsid w:val="005B0BAB"/>
    <w:rsid w:val="005B129B"/>
    <w:rsid w:val="005B6C10"/>
    <w:rsid w:val="005B72FA"/>
    <w:rsid w:val="005C1C55"/>
    <w:rsid w:val="005C29BF"/>
    <w:rsid w:val="005C420F"/>
    <w:rsid w:val="005C4C12"/>
    <w:rsid w:val="005C59D3"/>
    <w:rsid w:val="005C6256"/>
    <w:rsid w:val="005D1EFB"/>
    <w:rsid w:val="005D2626"/>
    <w:rsid w:val="005D26E1"/>
    <w:rsid w:val="005D469B"/>
    <w:rsid w:val="005D512B"/>
    <w:rsid w:val="005D7129"/>
    <w:rsid w:val="005E188D"/>
    <w:rsid w:val="005E275F"/>
    <w:rsid w:val="005E453E"/>
    <w:rsid w:val="005E6E04"/>
    <w:rsid w:val="005F2406"/>
    <w:rsid w:val="005F242C"/>
    <w:rsid w:val="005F3AB0"/>
    <w:rsid w:val="005F4F78"/>
    <w:rsid w:val="005F5F3D"/>
    <w:rsid w:val="006012EB"/>
    <w:rsid w:val="00601CC3"/>
    <w:rsid w:val="00602E1E"/>
    <w:rsid w:val="00604499"/>
    <w:rsid w:val="00607C37"/>
    <w:rsid w:val="00611052"/>
    <w:rsid w:val="00615264"/>
    <w:rsid w:val="006159DD"/>
    <w:rsid w:val="006173EA"/>
    <w:rsid w:val="00617932"/>
    <w:rsid w:val="00617A68"/>
    <w:rsid w:val="00622144"/>
    <w:rsid w:val="00623F5F"/>
    <w:rsid w:val="00626B94"/>
    <w:rsid w:val="00630FDC"/>
    <w:rsid w:val="00631564"/>
    <w:rsid w:val="00631F92"/>
    <w:rsid w:val="006337D1"/>
    <w:rsid w:val="006343B9"/>
    <w:rsid w:val="00637897"/>
    <w:rsid w:val="00637C54"/>
    <w:rsid w:val="00637E95"/>
    <w:rsid w:val="006425F7"/>
    <w:rsid w:val="00642754"/>
    <w:rsid w:val="00642B37"/>
    <w:rsid w:val="00643135"/>
    <w:rsid w:val="00653545"/>
    <w:rsid w:val="00653D87"/>
    <w:rsid w:val="00654EF1"/>
    <w:rsid w:val="0066048D"/>
    <w:rsid w:val="00661133"/>
    <w:rsid w:val="006626B2"/>
    <w:rsid w:val="0066285E"/>
    <w:rsid w:val="006628BD"/>
    <w:rsid w:val="00662E37"/>
    <w:rsid w:val="00665DE9"/>
    <w:rsid w:val="00671079"/>
    <w:rsid w:val="00673212"/>
    <w:rsid w:val="00675385"/>
    <w:rsid w:val="006814F7"/>
    <w:rsid w:val="00681AFF"/>
    <w:rsid w:val="00682560"/>
    <w:rsid w:val="00684047"/>
    <w:rsid w:val="00684FE4"/>
    <w:rsid w:val="00687BAC"/>
    <w:rsid w:val="0069064A"/>
    <w:rsid w:val="006910E5"/>
    <w:rsid w:val="00691A95"/>
    <w:rsid w:val="00691DE1"/>
    <w:rsid w:val="00692B5A"/>
    <w:rsid w:val="00693D18"/>
    <w:rsid w:val="00694B2D"/>
    <w:rsid w:val="00697A08"/>
    <w:rsid w:val="006A2DDE"/>
    <w:rsid w:val="006A34E4"/>
    <w:rsid w:val="006A43E0"/>
    <w:rsid w:val="006A54C2"/>
    <w:rsid w:val="006A68FD"/>
    <w:rsid w:val="006B1365"/>
    <w:rsid w:val="006B20DC"/>
    <w:rsid w:val="006B2146"/>
    <w:rsid w:val="006B2828"/>
    <w:rsid w:val="006B436B"/>
    <w:rsid w:val="006B63BB"/>
    <w:rsid w:val="006B66F7"/>
    <w:rsid w:val="006B6CE5"/>
    <w:rsid w:val="006B7622"/>
    <w:rsid w:val="006C1555"/>
    <w:rsid w:val="006C2AF1"/>
    <w:rsid w:val="006C2C1B"/>
    <w:rsid w:val="006C2FBC"/>
    <w:rsid w:val="006C3004"/>
    <w:rsid w:val="006C34BD"/>
    <w:rsid w:val="006D2F98"/>
    <w:rsid w:val="006D3DD6"/>
    <w:rsid w:val="006D6D38"/>
    <w:rsid w:val="006E0677"/>
    <w:rsid w:val="006E07C3"/>
    <w:rsid w:val="006E11E6"/>
    <w:rsid w:val="006E1939"/>
    <w:rsid w:val="006E4CE3"/>
    <w:rsid w:val="006F00DF"/>
    <w:rsid w:val="006F40BE"/>
    <w:rsid w:val="006F5041"/>
    <w:rsid w:val="006F63B1"/>
    <w:rsid w:val="006F791F"/>
    <w:rsid w:val="006F7E6A"/>
    <w:rsid w:val="00701EA0"/>
    <w:rsid w:val="0070233A"/>
    <w:rsid w:val="00702502"/>
    <w:rsid w:val="00702C6F"/>
    <w:rsid w:val="00703A6D"/>
    <w:rsid w:val="0070470D"/>
    <w:rsid w:val="007053CB"/>
    <w:rsid w:val="0070576D"/>
    <w:rsid w:val="007079EE"/>
    <w:rsid w:val="007101F8"/>
    <w:rsid w:val="00713253"/>
    <w:rsid w:val="00715322"/>
    <w:rsid w:val="00721014"/>
    <w:rsid w:val="007212C5"/>
    <w:rsid w:val="00721F6F"/>
    <w:rsid w:val="00722519"/>
    <w:rsid w:val="007244C1"/>
    <w:rsid w:val="00724674"/>
    <w:rsid w:val="00725AF1"/>
    <w:rsid w:val="00731F50"/>
    <w:rsid w:val="00735BD9"/>
    <w:rsid w:val="00735D5D"/>
    <w:rsid w:val="0073601E"/>
    <w:rsid w:val="00736923"/>
    <w:rsid w:val="0074063B"/>
    <w:rsid w:val="007414EC"/>
    <w:rsid w:val="00745BD1"/>
    <w:rsid w:val="007540BF"/>
    <w:rsid w:val="00754664"/>
    <w:rsid w:val="00754E28"/>
    <w:rsid w:val="00756D97"/>
    <w:rsid w:val="00756EC0"/>
    <w:rsid w:val="00760FA9"/>
    <w:rsid w:val="00761EA9"/>
    <w:rsid w:val="007625D2"/>
    <w:rsid w:val="00762BCA"/>
    <w:rsid w:val="00764836"/>
    <w:rsid w:val="00764C6E"/>
    <w:rsid w:val="00766EF8"/>
    <w:rsid w:val="0076760A"/>
    <w:rsid w:val="0077003B"/>
    <w:rsid w:val="00770934"/>
    <w:rsid w:val="0077253B"/>
    <w:rsid w:val="007725B4"/>
    <w:rsid w:val="00773712"/>
    <w:rsid w:val="00773AB9"/>
    <w:rsid w:val="00774751"/>
    <w:rsid w:val="00776962"/>
    <w:rsid w:val="007777AE"/>
    <w:rsid w:val="007805EF"/>
    <w:rsid w:val="0078204B"/>
    <w:rsid w:val="0078594C"/>
    <w:rsid w:val="00786A0D"/>
    <w:rsid w:val="00787510"/>
    <w:rsid w:val="00787A64"/>
    <w:rsid w:val="007921C1"/>
    <w:rsid w:val="007921D4"/>
    <w:rsid w:val="007A4DA5"/>
    <w:rsid w:val="007A7574"/>
    <w:rsid w:val="007A7EA6"/>
    <w:rsid w:val="007B0559"/>
    <w:rsid w:val="007B1FFD"/>
    <w:rsid w:val="007B2369"/>
    <w:rsid w:val="007B2C9D"/>
    <w:rsid w:val="007B4A00"/>
    <w:rsid w:val="007B4AE9"/>
    <w:rsid w:val="007B56EC"/>
    <w:rsid w:val="007B768E"/>
    <w:rsid w:val="007B7A01"/>
    <w:rsid w:val="007C0E50"/>
    <w:rsid w:val="007C4088"/>
    <w:rsid w:val="007C5DF8"/>
    <w:rsid w:val="007C697A"/>
    <w:rsid w:val="007C78F5"/>
    <w:rsid w:val="007D0163"/>
    <w:rsid w:val="007D062B"/>
    <w:rsid w:val="007D126D"/>
    <w:rsid w:val="007D12D6"/>
    <w:rsid w:val="007D12E9"/>
    <w:rsid w:val="007D152F"/>
    <w:rsid w:val="007D1C3D"/>
    <w:rsid w:val="007D4E4E"/>
    <w:rsid w:val="007D5002"/>
    <w:rsid w:val="007D5E2D"/>
    <w:rsid w:val="007D5F59"/>
    <w:rsid w:val="007E07B5"/>
    <w:rsid w:val="007E08D0"/>
    <w:rsid w:val="007E2C00"/>
    <w:rsid w:val="007E38C2"/>
    <w:rsid w:val="007E45CC"/>
    <w:rsid w:val="007F1C0D"/>
    <w:rsid w:val="007F41A2"/>
    <w:rsid w:val="007F5F91"/>
    <w:rsid w:val="007F7B7C"/>
    <w:rsid w:val="00800F57"/>
    <w:rsid w:val="0080178B"/>
    <w:rsid w:val="008029DB"/>
    <w:rsid w:val="0080326A"/>
    <w:rsid w:val="0080442B"/>
    <w:rsid w:val="00807D3D"/>
    <w:rsid w:val="0081001E"/>
    <w:rsid w:val="00812D6B"/>
    <w:rsid w:val="0081444E"/>
    <w:rsid w:val="008212C2"/>
    <w:rsid w:val="00821334"/>
    <w:rsid w:val="00823CA4"/>
    <w:rsid w:val="00824582"/>
    <w:rsid w:val="00825B18"/>
    <w:rsid w:val="0082620A"/>
    <w:rsid w:val="00830C0F"/>
    <w:rsid w:val="00831D01"/>
    <w:rsid w:val="008350B5"/>
    <w:rsid w:val="00837997"/>
    <w:rsid w:val="00840F68"/>
    <w:rsid w:val="00841583"/>
    <w:rsid w:val="00847FF9"/>
    <w:rsid w:val="008509CF"/>
    <w:rsid w:val="008519C8"/>
    <w:rsid w:val="008522C3"/>
    <w:rsid w:val="008524E6"/>
    <w:rsid w:val="0085402E"/>
    <w:rsid w:val="008562BA"/>
    <w:rsid w:val="008572BE"/>
    <w:rsid w:val="00857CD5"/>
    <w:rsid w:val="008621B6"/>
    <w:rsid w:val="00862582"/>
    <w:rsid w:val="0086376E"/>
    <w:rsid w:val="00866E95"/>
    <w:rsid w:val="008708C1"/>
    <w:rsid w:val="00872856"/>
    <w:rsid w:val="00873C6D"/>
    <w:rsid w:val="00873D8A"/>
    <w:rsid w:val="0087598F"/>
    <w:rsid w:val="00880897"/>
    <w:rsid w:val="00880A5D"/>
    <w:rsid w:val="00882953"/>
    <w:rsid w:val="00884F17"/>
    <w:rsid w:val="00886801"/>
    <w:rsid w:val="00887CF4"/>
    <w:rsid w:val="00891E4B"/>
    <w:rsid w:val="0089223D"/>
    <w:rsid w:val="00892304"/>
    <w:rsid w:val="0089520D"/>
    <w:rsid w:val="0089552A"/>
    <w:rsid w:val="00897A4E"/>
    <w:rsid w:val="00897FC3"/>
    <w:rsid w:val="008B076A"/>
    <w:rsid w:val="008B28FD"/>
    <w:rsid w:val="008B3147"/>
    <w:rsid w:val="008B34CD"/>
    <w:rsid w:val="008B36A7"/>
    <w:rsid w:val="008B48B9"/>
    <w:rsid w:val="008B66A6"/>
    <w:rsid w:val="008B6C63"/>
    <w:rsid w:val="008B7B70"/>
    <w:rsid w:val="008B7E18"/>
    <w:rsid w:val="008C1B59"/>
    <w:rsid w:val="008C3B28"/>
    <w:rsid w:val="008C4A49"/>
    <w:rsid w:val="008C5B6C"/>
    <w:rsid w:val="008C6082"/>
    <w:rsid w:val="008C7145"/>
    <w:rsid w:val="008C726A"/>
    <w:rsid w:val="008D082E"/>
    <w:rsid w:val="008D11EC"/>
    <w:rsid w:val="008D18A0"/>
    <w:rsid w:val="008D442E"/>
    <w:rsid w:val="008D5543"/>
    <w:rsid w:val="008E1377"/>
    <w:rsid w:val="008E1BB3"/>
    <w:rsid w:val="008E212B"/>
    <w:rsid w:val="008E36F5"/>
    <w:rsid w:val="008E3BCE"/>
    <w:rsid w:val="008E4BB7"/>
    <w:rsid w:val="008E511C"/>
    <w:rsid w:val="008E583D"/>
    <w:rsid w:val="008E7456"/>
    <w:rsid w:val="008F19A5"/>
    <w:rsid w:val="008F44D6"/>
    <w:rsid w:val="008F47D1"/>
    <w:rsid w:val="008F64BC"/>
    <w:rsid w:val="008F6551"/>
    <w:rsid w:val="008F7200"/>
    <w:rsid w:val="009013FB"/>
    <w:rsid w:val="00901BDA"/>
    <w:rsid w:val="00902C6C"/>
    <w:rsid w:val="00903680"/>
    <w:rsid w:val="009036E4"/>
    <w:rsid w:val="00903A3C"/>
    <w:rsid w:val="00904259"/>
    <w:rsid w:val="0090476C"/>
    <w:rsid w:val="00905EB4"/>
    <w:rsid w:val="0091227F"/>
    <w:rsid w:val="00913A17"/>
    <w:rsid w:val="00914DC7"/>
    <w:rsid w:val="00920050"/>
    <w:rsid w:val="009227D9"/>
    <w:rsid w:val="00922E9A"/>
    <w:rsid w:val="009242CA"/>
    <w:rsid w:val="00931BD1"/>
    <w:rsid w:val="00932CA9"/>
    <w:rsid w:val="00933CA4"/>
    <w:rsid w:val="009340CD"/>
    <w:rsid w:val="00935A51"/>
    <w:rsid w:val="00936B5E"/>
    <w:rsid w:val="00936EDA"/>
    <w:rsid w:val="00940815"/>
    <w:rsid w:val="00941957"/>
    <w:rsid w:val="00943277"/>
    <w:rsid w:val="00943892"/>
    <w:rsid w:val="009468EB"/>
    <w:rsid w:val="00946A04"/>
    <w:rsid w:val="009475A3"/>
    <w:rsid w:val="0095069E"/>
    <w:rsid w:val="00951482"/>
    <w:rsid w:val="00951AD5"/>
    <w:rsid w:val="00957262"/>
    <w:rsid w:val="0096386E"/>
    <w:rsid w:val="009642A9"/>
    <w:rsid w:val="00965842"/>
    <w:rsid w:val="00965BC8"/>
    <w:rsid w:val="00967258"/>
    <w:rsid w:val="00971008"/>
    <w:rsid w:val="00971D87"/>
    <w:rsid w:val="00975125"/>
    <w:rsid w:val="009754D0"/>
    <w:rsid w:val="00976D2C"/>
    <w:rsid w:val="00983E74"/>
    <w:rsid w:val="00984F59"/>
    <w:rsid w:val="00986580"/>
    <w:rsid w:val="00991665"/>
    <w:rsid w:val="00991A43"/>
    <w:rsid w:val="00991D83"/>
    <w:rsid w:val="00991DD1"/>
    <w:rsid w:val="009929C8"/>
    <w:rsid w:val="00992F91"/>
    <w:rsid w:val="00993527"/>
    <w:rsid w:val="0099373D"/>
    <w:rsid w:val="00995C6F"/>
    <w:rsid w:val="009971EB"/>
    <w:rsid w:val="0099741C"/>
    <w:rsid w:val="00997D56"/>
    <w:rsid w:val="009A0044"/>
    <w:rsid w:val="009A07ED"/>
    <w:rsid w:val="009A4F09"/>
    <w:rsid w:val="009A54EE"/>
    <w:rsid w:val="009A6FBD"/>
    <w:rsid w:val="009B0D17"/>
    <w:rsid w:val="009B1CED"/>
    <w:rsid w:val="009B2477"/>
    <w:rsid w:val="009B4A1A"/>
    <w:rsid w:val="009B4B58"/>
    <w:rsid w:val="009B6A0E"/>
    <w:rsid w:val="009B7088"/>
    <w:rsid w:val="009C1CDD"/>
    <w:rsid w:val="009C214F"/>
    <w:rsid w:val="009C24A1"/>
    <w:rsid w:val="009C46EF"/>
    <w:rsid w:val="009C47C1"/>
    <w:rsid w:val="009C5BE0"/>
    <w:rsid w:val="009C66AC"/>
    <w:rsid w:val="009D2AF2"/>
    <w:rsid w:val="009D2F1E"/>
    <w:rsid w:val="009D63CE"/>
    <w:rsid w:val="009D736D"/>
    <w:rsid w:val="009E53A4"/>
    <w:rsid w:val="009E60AC"/>
    <w:rsid w:val="009E7A82"/>
    <w:rsid w:val="009F1FB0"/>
    <w:rsid w:val="009F2440"/>
    <w:rsid w:val="009F6052"/>
    <w:rsid w:val="009F6BF3"/>
    <w:rsid w:val="009F79DC"/>
    <w:rsid w:val="00A0214E"/>
    <w:rsid w:val="00A03843"/>
    <w:rsid w:val="00A03A52"/>
    <w:rsid w:val="00A07784"/>
    <w:rsid w:val="00A10A6B"/>
    <w:rsid w:val="00A117DF"/>
    <w:rsid w:val="00A11DBB"/>
    <w:rsid w:val="00A122D2"/>
    <w:rsid w:val="00A1262A"/>
    <w:rsid w:val="00A12974"/>
    <w:rsid w:val="00A1311B"/>
    <w:rsid w:val="00A14152"/>
    <w:rsid w:val="00A16446"/>
    <w:rsid w:val="00A17666"/>
    <w:rsid w:val="00A20A78"/>
    <w:rsid w:val="00A21580"/>
    <w:rsid w:val="00A22D77"/>
    <w:rsid w:val="00A25E91"/>
    <w:rsid w:val="00A26CB3"/>
    <w:rsid w:val="00A321D2"/>
    <w:rsid w:val="00A34B99"/>
    <w:rsid w:val="00A36CB6"/>
    <w:rsid w:val="00A375A4"/>
    <w:rsid w:val="00A42305"/>
    <w:rsid w:val="00A42A46"/>
    <w:rsid w:val="00A42AC2"/>
    <w:rsid w:val="00A4311D"/>
    <w:rsid w:val="00A450DE"/>
    <w:rsid w:val="00A4546C"/>
    <w:rsid w:val="00A463ED"/>
    <w:rsid w:val="00A47111"/>
    <w:rsid w:val="00A47910"/>
    <w:rsid w:val="00A47BC4"/>
    <w:rsid w:val="00A507D9"/>
    <w:rsid w:val="00A50DC9"/>
    <w:rsid w:val="00A55836"/>
    <w:rsid w:val="00A55E5C"/>
    <w:rsid w:val="00A579BA"/>
    <w:rsid w:val="00A608F2"/>
    <w:rsid w:val="00A614A2"/>
    <w:rsid w:val="00A61931"/>
    <w:rsid w:val="00A62389"/>
    <w:rsid w:val="00A62BED"/>
    <w:rsid w:val="00A62FF6"/>
    <w:rsid w:val="00A642FC"/>
    <w:rsid w:val="00A64BFD"/>
    <w:rsid w:val="00A65194"/>
    <w:rsid w:val="00A6674C"/>
    <w:rsid w:val="00A67681"/>
    <w:rsid w:val="00A67A0E"/>
    <w:rsid w:val="00A76FA0"/>
    <w:rsid w:val="00A808C7"/>
    <w:rsid w:val="00A80CF0"/>
    <w:rsid w:val="00A82542"/>
    <w:rsid w:val="00A8548B"/>
    <w:rsid w:val="00A87E24"/>
    <w:rsid w:val="00A91A99"/>
    <w:rsid w:val="00A91D2F"/>
    <w:rsid w:val="00A92286"/>
    <w:rsid w:val="00A9438B"/>
    <w:rsid w:val="00A95A57"/>
    <w:rsid w:val="00AA216F"/>
    <w:rsid w:val="00AA7D14"/>
    <w:rsid w:val="00AB2B88"/>
    <w:rsid w:val="00AB3137"/>
    <w:rsid w:val="00AB61BB"/>
    <w:rsid w:val="00AB6441"/>
    <w:rsid w:val="00AB79AC"/>
    <w:rsid w:val="00AC02BC"/>
    <w:rsid w:val="00AC3A27"/>
    <w:rsid w:val="00AC4685"/>
    <w:rsid w:val="00AC4883"/>
    <w:rsid w:val="00AC603C"/>
    <w:rsid w:val="00AC7032"/>
    <w:rsid w:val="00AD55DB"/>
    <w:rsid w:val="00AD60C8"/>
    <w:rsid w:val="00AE1556"/>
    <w:rsid w:val="00AE4910"/>
    <w:rsid w:val="00AF0D7A"/>
    <w:rsid w:val="00AF2E8C"/>
    <w:rsid w:val="00AF5662"/>
    <w:rsid w:val="00AF7731"/>
    <w:rsid w:val="00B02C41"/>
    <w:rsid w:val="00B03911"/>
    <w:rsid w:val="00B04317"/>
    <w:rsid w:val="00B05E3B"/>
    <w:rsid w:val="00B07069"/>
    <w:rsid w:val="00B13E6C"/>
    <w:rsid w:val="00B14AE3"/>
    <w:rsid w:val="00B16127"/>
    <w:rsid w:val="00B167CC"/>
    <w:rsid w:val="00B16877"/>
    <w:rsid w:val="00B1753F"/>
    <w:rsid w:val="00B175B8"/>
    <w:rsid w:val="00B21EB0"/>
    <w:rsid w:val="00B2265E"/>
    <w:rsid w:val="00B24152"/>
    <w:rsid w:val="00B26977"/>
    <w:rsid w:val="00B30F98"/>
    <w:rsid w:val="00B32DE3"/>
    <w:rsid w:val="00B33515"/>
    <w:rsid w:val="00B37FF7"/>
    <w:rsid w:val="00B40349"/>
    <w:rsid w:val="00B42983"/>
    <w:rsid w:val="00B4302C"/>
    <w:rsid w:val="00B43E7D"/>
    <w:rsid w:val="00B44565"/>
    <w:rsid w:val="00B461EE"/>
    <w:rsid w:val="00B4687E"/>
    <w:rsid w:val="00B50DFB"/>
    <w:rsid w:val="00B52EC3"/>
    <w:rsid w:val="00B53A13"/>
    <w:rsid w:val="00B55F85"/>
    <w:rsid w:val="00B565BC"/>
    <w:rsid w:val="00B5685E"/>
    <w:rsid w:val="00B64F43"/>
    <w:rsid w:val="00B66B7A"/>
    <w:rsid w:val="00B67EBD"/>
    <w:rsid w:val="00B7174E"/>
    <w:rsid w:val="00B71FD6"/>
    <w:rsid w:val="00B735ED"/>
    <w:rsid w:val="00B74B51"/>
    <w:rsid w:val="00B76E4A"/>
    <w:rsid w:val="00B80716"/>
    <w:rsid w:val="00B82F25"/>
    <w:rsid w:val="00B86DF9"/>
    <w:rsid w:val="00B87FFC"/>
    <w:rsid w:val="00B913C7"/>
    <w:rsid w:val="00B918C7"/>
    <w:rsid w:val="00B94E09"/>
    <w:rsid w:val="00BA0750"/>
    <w:rsid w:val="00BA09EB"/>
    <w:rsid w:val="00BA1C8E"/>
    <w:rsid w:val="00BA371E"/>
    <w:rsid w:val="00BA4AB0"/>
    <w:rsid w:val="00BA4B57"/>
    <w:rsid w:val="00BA5AA1"/>
    <w:rsid w:val="00BA6014"/>
    <w:rsid w:val="00BA6DF1"/>
    <w:rsid w:val="00BB4E61"/>
    <w:rsid w:val="00BB5CA5"/>
    <w:rsid w:val="00BB7622"/>
    <w:rsid w:val="00BC4663"/>
    <w:rsid w:val="00BC547F"/>
    <w:rsid w:val="00BC5FE7"/>
    <w:rsid w:val="00BC7377"/>
    <w:rsid w:val="00BC763A"/>
    <w:rsid w:val="00BC79CA"/>
    <w:rsid w:val="00BD151D"/>
    <w:rsid w:val="00BD30E8"/>
    <w:rsid w:val="00BD3996"/>
    <w:rsid w:val="00BD3BB1"/>
    <w:rsid w:val="00BD68C1"/>
    <w:rsid w:val="00BD763F"/>
    <w:rsid w:val="00BE030E"/>
    <w:rsid w:val="00BE531B"/>
    <w:rsid w:val="00BE6510"/>
    <w:rsid w:val="00BE76B4"/>
    <w:rsid w:val="00BF1CC7"/>
    <w:rsid w:val="00BF67BF"/>
    <w:rsid w:val="00BF67C9"/>
    <w:rsid w:val="00BF6800"/>
    <w:rsid w:val="00C03E77"/>
    <w:rsid w:val="00C06B16"/>
    <w:rsid w:val="00C0743C"/>
    <w:rsid w:val="00C07CA6"/>
    <w:rsid w:val="00C14029"/>
    <w:rsid w:val="00C162C2"/>
    <w:rsid w:val="00C223F4"/>
    <w:rsid w:val="00C27715"/>
    <w:rsid w:val="00C311CA"/>
    <w:rsid w:val="00C360EA"/>
    <w:rsid w:val="00C3692F"/>
    <w:rsid w:val="00C40788"/>
    <w:rsid w:val="00C40C54"/>
    <w:rsid w:val="00C425BE"/>
    <w:rsid w:val="00C46ABA"/>
    <w:rsid w:val="00C46C1C"/>
    <w:rsid w:val="00C47D25"/>
    <w:rsid w:val="00C51346"/>
    <w:rsid w:val="00C51F69"/>
    <w:rsid w:val="00C5342E"/>
    <w:rsid w:val="00C54B85"/>
    <w:rsid w:val="00C5539E"/>
    <w:rsid w:val="00C60E90"/>
    <w:rsid w:val="00C623E4"/>
    <w:rsid w:val="00C6653A"/>
    <w:rsid w:val="00C67D85"/>
    <w:rsid w:val="00C70A93"/>
    <w:rsid w:val="00C718C7"/>
    <w:rsid w:val="00C71D3F"/>
    <w:rsid w:val="00C72FBE"/>
    <w:rsid w:val="00C75DD7"/>
    <w:rsid w:val="00C77907"/>
    <w:rsid w:val="00C815E6"/>
    <w:rsid w:val="00C8179E"/>
    <w:rsid w:val="00C842BC"/>
    <w:rsid w:val="00C84669"/>
    <w:rsid w:val="00C85011"/>
    <w:rsid w:val="00C877A0"/>
    <w:rsid w:val="00C87ECC"/>
    <w:rsid w:val="00C91619"/>
    <w:rsid w:val="00C92026"/>
    <w:rsid w:val="00C92F7C"/>
    <w:rsid w:val="00C96AEE"/>
    <w:rsid w:val="00C96DC5"/>
    <w:rsid w:val="00CA0B13"/>
    <w:rsid w:val="00CA1957"/>
    <w:rsid w:val="00CA1E21"/>
    <w:rsid w:val="00CA1F09"/>
    <w:rsid w:val="00CA2109"/>
    <w:rsid w:val="00CA2C70"/>
    <w:rsid w:val="00CA4CC1"/>
    <w:rsid w:val="00CB08B5"/>
    <w:rsid w:val="00CB15F0"/>
    <w:rsid w:val="00CB1794"/>
    <w:rsid w:val="00CB24DC"/>
    <w:rsid w:val="00CB2D28"/>
    <w:rsid w:val="00CB35DB"/>
    <w:rsid w:val="00CB3D5D"/>
    <w:rsid w:val="00CB4781"/>
    <w:rsid w:val="00CB483D"/>
    <w:rsid w:val="00CB5653"/>
    <w:rsid w:val="00CC2E88"/>
    <w:rsid w:val="00CC341D"/>
    <w:rsid w:val="00CC3721"/>
    <w:rsid w:val="00CC471F"/>
    <w:rsid w:val="00CC67E3"/>
    <w:rsid w:val="00CC6DBB"/>
    <w:rsid w:val="00CC6F10"/>
    <w:rsid w:val="00CD295E"/>
    <w:rsid w:val="00CD37E2"/>
    <w:rsid w:val="00CD42DF"/>
    <w:rsid w:val="00CD4527"/>
    <w:rsid w:val="00CD4849"/>
    <w:rsid w:val="00CD4D31"/>
    <w:rsid w:val="00CE2DAA"/>
    <w:rsid w:val="00CE30D3"/>
    <w:rsid w:val="00CE382F"/>
    <w:rsid w:val="00CE40D1"/>
    <w:rsid w:val="00CE4DEB"/>
    <w:rsid w:val="00CE6880"/>
    <w:rsid w:val="00CE6C4D"/>
    <w:rsid w:val="00CE7581"/>
    <w:rsid w:val="00CE7CE0"/>
    <w:rsid w:val="00CF0186"/>
    <w:rsid w:val="00CF1454"/>
    <w:rsid w:val="00CF147B"/>
    <w:rsid w:val="00CF2831"/>
    <w:rsid w:val="00CF4700"/>
    <w:rsid w:val="00D00AA9"/>
    <w:rsid w:val="00D00BD9"/>
    <w:rsid w:val="00D00F9B"/>
    <w:rsid w:val="00D02B8B"/>
    <w:rsid w:val="00D02CFE"/>
    <w:rsid w:val="00D039AA"/>
    <w:rsid w:val="00D041D2"/>
    <w:rsid w:val="00D10A7A"/>
    <w:rsid w:val="00D11D7F"/>
    <w:rsid w:val="00D13757"/>
    <w:rsid w:val="00D14279"/>
    <w:rsid w:val="00D143FC"/>
    <w:rsid w:val="00D16170"/>
    <w:rsid w:val="00D161D5"/>
    <w:rsid w:val="00D21E05"/>
    <w:rsid w:val="00D22331"/>
    <w:rsid w:val="00D2320E"/>
    <w:rsid w:val="00D2527C"/>
    <w:rsid w:val="00D2720B"/>
    <w:rsid w:val="00D30F76"/>
    <w:rsid w:val="00D33ACA"/>
    <w:rsid w:val="00D3497A"/>
    <w:rsid w:val="00D34C7E"/>
    <w:rsid w:val="00D34F97"/>
    <w:rsid w:val="00D361CE"/>
    <w:rsid w:val="00D4114B"/>
    <w:rsid w:val="00D41441"/>
    <w:rsid w:val="00D43046"/>
    <w:rsid w:val="00D43B2A"/>
    <w:rsid w:val="00D447F9"/>
    <w:rsid w:val="00D457AD"/>
    <w:rsid w:val="00D46A30"/>
    <w:rsid w:val="00D4725E"/>
    <w:rsid w:val="00D50C3A"/>
    <w:rsid w:val="00D51446"/>
    <w:rsid w:val="00D53245"/>
    <w:rsid w:val="00D55339"/>
    <w:rsid w:val="00D57D2E"/>
    <w:rsid w:val="00D57E9F"/>
    <w:rsid w:val="00D61C58"/>
    <w:rsid w:val="00D623AD"/>
    <w:rsid w:val="00D6355D"/>
    <w:rsid w:val="00D64469"/>
    <w:rsid w:val="00D64EBE"/>
    <w:rsid w:val="00D66C7E"/>
    <w:rsid w:val="00D7231C"/>
    <w:rsid w:val="00D733BF"/>
    <w:rsid w:val="00D7372D"/>
    <w:rsid w:val="00D74005"/>
    <w:rsid w:val="00D748EB"/>
    <w:rsid w:val="00D76AE7"/>
    <w:rsid w:val="00D81901"/>
    <w:rsid w:val="00D83FF1"/>
    <w:rsid w:val="00D84C88"/>
    <w:rsid w:val="00D85654"/>
    <w:rsid w:val="00D9023E"/>
    <w:rsid w:val="00D957AD"/>
    <w:rsid w:val="00D97701"/>
    <w:rsid w:val="00DA0963"/>
    <w:rsid w:val="00DA501B"/>
    <w:rsid w:val="00DB0240"/>
    <w:rsid w:val="00DB1FDA"/>
    <w:rsid w:val="00DB241A"/>
    <w:rsid w:val="00DB4CA0"/>
    <w:rsid w:val="00DB595E"/>
    <w:rsid w:val="00DC02D6"/>
    <w:rsid w:val="00DC0B4B"/>
    <w:rsid w:val="00DC2E34"/>
    <w:rsid w:val="00DC4BEF"/>
    <w:rsid w:val="00DC6196"/>
    <w:rsid w:val="00DC64B7"/>
    <w:rsid w:val="00DD08B2"/>
    <w:rsid w:val="00DD13DF"/>
    <w:rsid w:val="00DD38EE"/>
    <w:rsid w:val="00DD4BB3"/>
    <w:rsid w:val="00DD5119"/>
    <w:rsid w:val="00DD58FE"/>
    <w:rsid w:val="00DD5CFE"/>
    <w:rsid w:val="00DE1883"/>
    <w:rsid w:val="00DE1CC2"/>
    <w:rsid w:val="00DE2C49"/>
    <w:rsid w:val="00DE5F21"/>
    <w:rsid w:val="00DE6DFD"/>
    <w:rsid w:val="00DF6555"/>
    <w:rsid w:val="00E00988"/>
    <w:rsid w:val="00E01B1A"/>
    <w:rsid w:val="00E0392E"/>
    <w:rsid w:val="00E0430C"/>
    <w:rsid w:val="00E06274"/>
    <w:rsid w:val="00E11841"/>
    <w:rsid w:val="00E14CF3"/>
    <w:rsid w:val="00E167DB"/>
    <w:rsid w:val="00E17417"/>
    <w:rsid w:val="00E20827"/>
    <w:rsid w:val="00E20AFE"/>
    <w:rsid w:val="00E24240"/>
    <w:rsid w:val="00E25256"/>
    <w:rsid w:val="00E34173"/>
    <w:rsid w:val="00E344C3"/>
    <w:rsid w:val="00E3491A"/>
    <w:rsid w:val="00E40494"/>
    <w:rsid w:val="00E40B16"/>
    <w:rsid w:val="00E415FD"/>
    <w:rsid w:val="00E4189C"/>
    <w:rsid w:val="00E41D20"/>
    <w:rsid w:val="00E45250"/>
    <w:rsid w:val="00E460DC"/>
    <w:rsid w:val="00E53F35"/>
    <w:rsid w:val="00E56546"/>
    <w:rsid w:val="00E57773"/>
    <w:rsid w:val="00E603D0"/>
    <w:rsid w:val="00E6132C"/>
    <w:rsid w:val="00E62B82"/>
    <w:rsid w:val="00E63361"/>
    <w:rsid w:val="00E642CB"/>
    <w:rsid w:val="00E644EF"/>
    <w:rsid w:val="00E6702A"/>
    <w:rsid w:val="00E673EA"/>
    <w:rsid w:val="00E71A94"/>
    <w:rsid w:val="00E73D73"/>
    <w:rsid w:val="00E7494C"/>
    <w:rsid w:val="00E75FA4"/>
    <w:rsid w:val="00E76BC9"/>
    <w:rsid w:val="00E77B87"/>
    <w:rsid w:val="00E81230"/>
    <w:rsid w:val="00E82EF8"/>
    <w:rsid w:val="00E83973"/>
    <w:rsid w:val="00E85526"/>
    <w:rsid w:val="00E8625E"/>
    <w:rsid w:val="00E86435"/>
    <w:rsid w:val="00E86BAA"/>
    <w:rsid w:val="00E86DC9"/>
    <w:rsid w:val="00E87E76"/>
    <w:rsid w:val="00E91FC4"/>
    <w:rsid w:val="00E94821"/>
    <w:rsid w:val="00E9681E"/>
    <w:rsid w:val="00EA0B2C"/>
    <w:rsid w:val="00EA2033"/>
    <w:rsid w:val="00EA5637"/>
    <w:rsid w:val="00EA5951"/>
    <w:rsid w:val="00EA7DBD"/>
    <w:rsid w:val="00EB1815"/>
    <w:rsid w:val="00EB66AB"/>
    <w:rsid w:val="00EC1AEB"/>
    <w:rsid w:val="00EC4773"/>
    <w:rsid w:val="00EC6C7D"/>
    <w:rsid w:val="00ED05CE"/>
    <w:rsid w:val="00ED25C4"/>
    <w:rsid w:val="00ED2BDC"/>
    <w:rsid w:val="00ED5860"/>
    <w:rsid w:val="00ED5D55"/>
    <w:rsid w:val="00ED7531"/>
    <w:rsid w:val="00EE14A6"/>
    <w:rsid w:val="00EE19DC"/>
    <w:rsid w:val="00EE1E50"/>
    <w:rsid w:val="00EE3CDA"/>
    <w:rsid w:val="00EE3E3E"/>
    <w:rsid w:val="00EE7122"/>
    <w:rsid w:val="00EF0771"/>
    <w:rsid w:val="00EF2BFC"/>
    <w:rsid w:val="00EF4AEC"/>
    <w:rsid w:val="00EF5358"/>
    <w:rsid w:val="00EF553B"/>
    <w:rsid w:val="00EF5595"/>
    <w:rsid w:val="00F0304B"/>
    <w:rsid w:val="00F03351"/>
    <w:rsid w:val="00F044BF"/>
    <w:rsid w:val="00F04A87"/>
    <w:rsid w:val="00F073AE"/>
    <w:rsid w:val="00F108FC"/>
    <w:rsid w:val="00F11B1A"/>
    <w:rsid w:val="00F15E52"/>
    <w:rsid w:val="00F22828"/>
    <w:rsid w:val="00F2457B"/>
    <w:rsid w:val="00F26618"/>
    <w:rsid w:val="00F3102D"/>
    <w:rsid w:val="00F33340"/>
    <w:rsid w:val="00F40F23"/>
    <w:rsid w:val="00F41707"/>
    <w:rsid w:val="00F424F7"/>
    <w:rsid w:val="00F42CCF"/>
    <w:rsid w:val="00F437C1"/>
    <w:rsid w:val="00F43C17"/>
    <w:rsid w:val="00F4425D"/>
    <w:rsid w:val="00F5041F"/>
    <w:rsid w:val="00F5272B"/>
    <w:rsid w:val="00F568A1"/>
    <w:rsid w:val="00F57294"/>
    <w:rsid w:val="00F577E8"/>
    <w:rsid w:val="00F60624"/>
    <w:rsid w:val="00F62220"/>
    <w:rsid w:val="00F625D2"/>
    <w:rsid w:val="00F67164"/>
    <w:rsid w:val="00F6787F"/>
    <w:rsid w:val="00F70843"/>
    <w:rsid w:val="00F71793"/>
    <w:rsid w:val="00F71FF5"/>
    <w:rsid w:val="00F731E2"/>
    <w:rsid w:val="00F74C97"/>
    <w:rsid w:val="00F75632"/>
    <w:rsid w:val="00F765DF"/>
    <w:rsid w:val="00F80961"/>
    <w:rsid w:val="00F81861"/>
    <w:rsid w:val="00F829DC"/>
    <w:rsid w:val="00F8426B"/>
    <w:rsid w:val="00F85747"/>
    <w:rsid w:val="00F85FBC"/>
    <w:rsid w:val="00F93CB1"/>
    <w:rsid w:val="00F96305"/>
    <w:rsid w:val="00F967E1"/>
    <w:rsid w:val="00F97557"/>
    <w:rsid w:val="00FA0390"/>
    <w:rsid w:val="00FA087A"/>
    <w:rsid w:val="00FA2039"/>
    <w:rsid w:val="00FA36D3"/>
    <w:rsid w:val="00FA3A5E"/>
    <w:rsid w:val="00FA4310"/>
    <w:rsid w:val="00FA5D3B"/>
    <w:rsid w:val="00FB20F4"/>
    <w:rsid w:val="00FB307C"/>
    <w:rsid w:val="00FB325F"/>
    <w:rsid w:val="00FC2FD9"/>
    <w:rsid w:val="00FC30D8"/>
    <w:rsid w:val="00FC372A"/>
    <w:rsid w:val="00FC3853"/>
    <w:rsid w:val="00FC3D05"/>
    <w:rsid w:val="00FC403E"/>
    <w:rsid w:val="00FC575B"/>
    <w:rsid w:val="00FC58DA"/>
    <w:rsid w:val="00FD0960"/>
    <w:rsid w:val="00FD2E5E"/>
    <w:rsid w:val="00FD3242"/>
    <w:rsid w:val="00FD5557"/>
    <w:rsid w:val="00FD5BE7"/>
    <w:rsid w:val="00FD762E"/>
    <w:rsid w:val="00FD7D65"/>
    <w:rsid w:val="00FD7E05"/>
    <w:rsid w:val="00FD7FE3"/>
    <w:rsid w:val="00FE098E"/>
    <w:rsid w:val="00FE170C"/>
    <w:rsid w:val="00FE27CD"/>
    <w:rsid w:val="00FE3E67"/>
    <w:rsid w:val="00FE4C35"/>
    <w:rsid w:val="00FF01E1"/>
    <w:rsid w:val="00FF1A76"/>
    <w:rsid w:val="00FF1EDC"/>
    <w:rsid w:val="00FF603E"/>
    <w:rsid w:val="00FF6A78"/>
    <w:rsid w:val="00FF77FD"/>
    <w:rsid w:val="00FF7DC0"/>
    <w:rsid w:val="0DF4DC50"/>
    <w:rsid w:val="35166108"/>
    <w:rsid w:val="7E43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C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A8E"/>
    <w:pPr>
      <w:spacing w:before="120" w:after="120" w:line="240" w:lineRule="auto"/>
    </w:pPr>
    <w:rPr>
      <w:rFonts w:ascii="Times New Roman" w:hAnsi="Times New Roman"/>
      <w:kern w:val="0"/>
      <w14:ligatures w14:val="none"/>
    </w:rPr>
  </w:style>
  <w:style w:type="paragraph" w:styleId="Heading1">
    <w:name w:val="heading 1"/>
    <w:basedOn w:val="Normal"/>
    <w:next w:val="Normalparatextnonumbers"/>
    <w:link w:val="Heading1Char"/>
    <w:qFormat/>
    <w:rsid w:val="00107A8E"/>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107A8E"/>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107A8E"/>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107A8E"/>
    <w:pPr>
      <w:keepNext/>
      <w:keepLines/>
      <w:numPr>
        <w:ilvl w:val="3"/>
        <w:numId w:val="2"/>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107A8E"/>
    <w:pPr>
      <w:keepNext/>
      <w:keepLines/>
      <w:numPr>
        <w:ilvl w:val="4"/>
        <w:numId w:val="2"/>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107A8E"/>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A8E"/>
    <w:rPr>
      <w:rFonts w:ascii="Helvitica" w:eastAsiaTheme="majorEastAsia" w:hAnsi="Helvitica" w:cstheme="majorBidi"/>
      <w:b/>
      <w:i/>
      <w:kern w:val="0"/>
      <w:sz w:val="40"/>
      <w:szCs w:val="32"/>
      <w14:ligatures w14:val="none"/>
    </w:rPr>
  </w:style>
  <w:style w:type="character" w:customStyle="1" w:styleId="Heading2Char">
    <w:name w:val="Heading 2 Char"/>
    <w:basedOn w:val="DefaultParagraphFont"/>
    <w:link w:val="Heading2"/>
    <w:rsid w:val="00107A8E"/>
    <w:rPr>
      <w:rFonts w:ascii="Helvitica" w:eastAsiaTheme="majorEastAsia" w:hAnsi="Helvitica" w:cstheme="majorBidi"/>
      <w:kern w:val="0"/>
      <w:sz w:val="36"/>
      <w:szCs w:val="26"/>
      <w14:ligatures w14:val="none"/>
    </w:rPr>
  </w:style>
  <w:style w:type="character" w:customStyle="1" w:styleId="Heading3Char">
    <w:name w:val="Heading 3 Char"/>
    <w:basedOn w:val="DefaultParagraphFont"/>
    <w:link w:val="Heading3"/>
    <w:rsid w:val="00107A8E"/>
    <w:rPr>
      <w:rFonts w:ascii="Helvitica" w:eastAsiaTheme="majorEastAsia" w:hAnsi="Helvitica" w:cstheme="majorBidi"/>
      <w:kern w:val="0"/>
      <w:sz w:val="32"/>
      <w:szCs w:val="24"/>
      <w14:ligatures w14:val="none"/>
    </w:rPr>
  </w:style>
  <w:style w:type="character" w:customStyle="1" w:styleId="Heading4Char">
    <w:name w:val="Heading 4 Char"/>
    <w:basedOn w:val="DefaultParagraphFont"/>
    <w:link w:val="Heading4"/>
    <w:uiPriority w:val="9"/>
    <w:rsid w:val="00107A8E"/>
    <w:rPr>
      <w:rFonts w:ascii="Helvetica" w:eastAsiaTheme="majorEastAsia" w:hAnsi="Helvetica" w:cstheme="majorBidi"/>
      <w:iCs/>
      <w:kern w:val="0"/>
      <w:sz w:val="28"/>
      <w14:ligatures w14:val="none"/>
    </w:rPr>
  </w:style>
  <w:style w:type="character" w:customStyle="1" w:styleId="Heading5Char">
    <w:name w:val="Heading 5 Char"/>
    <w:basedOn w:val="DefaultParagraphFont"/>
    <w:link w:val="Heading5"/>
    <w:uiPriority w:val="9"/>
    <w:rsid w:val="00107A8E"/>
    <w:rPr>
      <w:rFonts w:ascii="Helvetica" w:eastAsiaTheme="majorEastAsia" w:hAnsi="Helvetica" w:cstheme="majorBidi"/>
      <w:b/>
      <w:spacing w:val="-10"/>
      <w:kern w:val="28"/>
      <w:sz w:val="24"/>
      <w:szCs w:val="56"/>
      <w14:ligatures w14:val="none"/>
    </w:rPr>
  </w:style>
  <w:style w:type="character" w:customStyle="1" w:styleId="Heading6Char">
    <w:name w:val="Heading 6 Char"/>
    <w:basedOn w:val="DefaultParagraphFont"/>
    <w:link w:val="Heading6"/>
    <w:uiPriority w:val="9"/>
    <w:semiHidden/>
    <w:rsid w:val="00107A8E"/>
    <w:rPr>
      <w:rFonts w:ascii="Helvitica" w:eastAsiaTheme="majorEastAsia" w:hAnsi="Helvitica" w:cstheme="majorBidi"/>
      <w:i/>
      <w:kern w:val="0"/>
      <w14:ligatures w14:val="none"/>
    </w:rPr>
  </w:style>
  <w:style w:type="paragraph" w:customStyle="1" w:styleId="AttachmentHeading">
    <w:name w:val="AttachmentHeading"/>
    <w:basedOn w:val="Heading1"/>
    <w:next w:val="Normalparatextnonumbers"/>
    <w:uiPriority w:val="1"/>
    <w:rsid w:val="00107A8E"/>
    <w:pPr>
      <w:numPr>
        <w:numId w:val="1"/>
      </w:numPr>
      <w:pBdr>
        <w:bottom w:val="single" w:sz="4" w:space="8" w:color="auto"/>
      </w:pBdr>
      <w:ind w:left="0" w:firstLine="0"/>
    </w:pPr>
  </w:style>
  <w:style w:type="paragraph" w:customStyle="1" w:styleId="Normalparatextnonumbers">
    <w:name w:val="Normal para text (no numbers)"/>
    <w:basedOn w:val="Normal"/>
    <w:qFormat/>
    <w:rsid w:val="00107A8E"/>
  </w:style>
  <w:style w:type="paragraph" w:customStyle="1" w:styleId="BillName">
    <w:name w:val="Bill Name"/>
    <w:basedOn w:val="Normalparatextnonumbers"/>
    <w:next w:val="Normalparatextnonumbers"/>
    <w:qFormat/>
    <w:rsid w:val="00107A8E"/>
    <w:pPr>
      <w:spacing w:before="200" w:after="200"/>
      <w:jc w:val="center"/>
    </w:pPr>
    <w:rPr>
      <w:rFonts w:cs="Times New Roman"/>
      <w:caps/>
    </w:rPr>
  </w:style>
  <w:style w:type="paragraph" w:customStyle="1" w:styleId="TableHeading">
    <w:name w:val="Table Heading"/>
    <w:basedOn w:val="Heading4"/>
    <w:next w:val="Normalparatextnonumbers"/>
    <w:uiPriority w:val="1"/>
    <w:rsid w:val="00107A8E"/>
    <w:pPr>
      <w:keepLines w:val="0"/>
      <w:numPr>
        <w:ilvl w:val="4"/>
        <w:numId w:val="3"/>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107A8E"/>
    <w:pPr>
      <w:numPr>
        <w:ilvl w:val="0"/>
        <w:numId w:val="0"/>
      </w:numPr>
    </w:pPr>
    <w:rPr>
      <w:iCs w:val="0"/>
      <w:color w:val="44546A" w:themeColor="text2"/>
      <w:szCs w:val="18"/>
    </w:rPr>
  </w:style>
  <w:style w:type="paragraph" w:customStyle="1" w:styleId="Chapterheading">
    <w:name w:val="Chapter heading"/>
    <w:basedOn w:val="Heading1"/>
    <w:next w:val="Normalparatextnonumbers"/>
    <w:rsid w:val="00107A8E"/>
    <w:pPr>
      <w:numPr>
        <w:numId w:val="3"/>
      </w:numPr>
      <w:pBdr>
        <w:bottom w:val="single" w:sz="4" w:space="8" w:color="auto"/>
      </w:pBdr>
      <w:spacing w:before="0"/>
    </w:pPr>
  </w:style>
  <w:style w:type="numbering" w:customStyle="1" w:styleId="Chapternumbering">
    <w:name w:val="Chapter numbering"/>
    <w:uiPriority w:val="99"/>
    <w:rsid w:val="00107A8E"/>
    <w:pPr>
      <w:numPr>
        <w:numId w:val="6"/>
      </w:numPr>
    </w:pPr>
  </w:style>
  <w:style w:type="paragraph" w:customStyle="1" w:styleId="ChartandTableFootnoteAlpha">
    <w:name w:val="Chart and Table Footnote Alpha"/>
    <w:uiPriority w:val="1"/>
    <w:rsid w:val="00107A8E"/>
    <w:pPr>
      <w:tabs>
        <w:tab w:val="num" w:pos="284"/>
      </w:tabs>
      <w:spacing w:after="0" w:line="240" w:lineRule="auto"/>
      <w:ind w:left="284" w:hanging="284"/>
      <w:jc w:val="both"/>
    </w:pPr>
    <w:rPr>
      <w:rFonts w:ascii="Times New Roman" w:eastAsia="Times New Roman" w:hAnsi="Times New Roman" w:cs="Times New Roman"/>
      <w:color w:val="000000"/>
      <w:kern w:val="0"/>
      <w:sz w:val="20"/>
      <w:szCs w:val="16"/>
      <w:lang w:eastAsia="en-AU"/>
      <w14:ligatures w14:val="none"/>
    </w:rPr>
  </w:style>
  <w:style w:type="paragraph" w:customStyle="1" w:styleId="Dash">
    <w:name w:val="Dash"/>
    <w:basedOn w:val="Normal"/>
    <w:semiHidden/>
    <w:rsid w:val="00107A8E"/>
    <w:pPr>
      <w:numPr>
        <w:ilvl w:val="1"/>
        <w:numId w:val="20"/>
      </w:numPr>
      <w:tabs>
        <w:tab w:val="num" w:pos="532"/>
      </w:tabs>
      <w:spacing w:before="0" w:after="240" w:line="260" w:lineRule="exact"/>
    </w:pPr>
  </w:style>
  <w:style w:type="paragraph" w:customStyle="1" w:styleId="DiagramHeading">
    <w:name w:val="Diagram Heading"/>
    <w:basedOn w:val="TableHeading"/>
    <w:next w:val="Normalparatextnonumbers"/>
    <w:uiPriority w:val="1"/>
    <w:rsid w:val="00107A8E"/>
    <w:pPr>
      <w:numPr>
        <w:ilvl w:val="2"/>
      </w:numPr>
      <w:ind w:left="0" w:firstLine="0"/>
    </w:pPr>
  </w:style>
  <w:style w:type="paragraph" w:customStyle="1" w:styleId="Dotpoint1">
    <w:name w:val="Dot point 1"/>
    <w:basedOn w:val="Normal"/>
    <w:link w:val="Dotpoint1Char"/>
    <w:uiPriority w:val="1"/>
    <w:qFormat/>
    <w:rsid w:val="00107A8E"/>
    <w:pPr>
      <w:numPr>
        <w:numId w:val="8"/>
      </w:numPr>
    </w:pPr>
  </w:style>
  <w:style w:type="character" w:customStyle="1" w:styleId="Dotpoint1Char">
    <w:name w:val="Dot point 1 Char"/>
    <w:basedOn w:val="DefaultParagraphFont"/>
    <w:link w:val="Dotpoint1"/>
    <w:uiPriority w:val="1"/>
    <w:rsid w:val="00107A8E"/>
    <w:rPr>
      <w:rFonts w:ascii="Times New Roman" w:hAnsi="Times New Roman"/>
      <w:kern w:val="0"/>
      <w14:ligatures w14:val="none"/>
    </w:rPr>
  </w:style>
  <w:style w:type="paragraph" w:customStyle="1" w:styleId="Dotpoint2">
    <w:name w:val="Dot point 2"/>
    <w:basedOn w:val="Dotpoint1"/>
    <w:uiPriority w:val="1"/>
    <w:rsid w:val="00107A8E"/>
    <w:pPr>
      <w:numPr>
        <w:numId w:val="9"/>
      </w:numPr>
      <w:ind w:left="2127" w:hanging="709"/>
    </w:pPr>
  </w:style>
  <w:style w:type="paragraph" w:customStyle="1" w:styleId="Exampletext">
    <w:name w:val="Example text"/>
    <w:basedOn w:val="Normal"/>
    <w:uiPriority w:val="1"/>
    <w:qFormat/>
    <w:rsid w:val="00107A8E"/>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107A8E"/>
    <w:pPr>
      <w:numPr>
        <w:numId w:val="10"/>
      </w:numPr>
      <w:spacing w:before="120" w:after="120"/>
      <w:ind w:left="1843" w:right="862" w:hanging="709"/>
    </w:pPr>
  </w:style>
  <w:style w:type="paragraph" w:customStyle="1" w:styleId="Exampledotpoint2">
    <w:name w:val="Example dot point 2"/>
    <w:basedOn w:val="Exampledotpoint1"/>
    <w:uiPriority w:val="1"/>
    <w:rsid w:val="00107A8E"/>
    <w:pPr>
      <w:numPr>
        <w:numId w:val="11"/>
      </w:numPr>
      <w:ind w:left="2552" w:hanging="709"/>
    </w:pPr>
  </w:style>
  <w:style w:type="paragraph" w:customStyle="1" w:styleId="ExampleHeading">
    <w:name w:val="Example Heading"/>
    <w:basedOn w:val="TableHeading"/>
    <w:next w:val="Exampletext"/>
    <w:uiPriority w:val="1"/>
    <w:rsid w:val="00107A8E"/>
    <w:pPr>
      <w:numPr>
        <w:ilvl w:val="3"/>
      </w:numPr>
      <w:ind w:left="0" w:firstLine="0"/>
    </w:pPr>
  </w:style>
  <w:style w:type="paragraph" w:customStyle="1" w:styleId="Exampleindent">
    <w:name w:val="Example indent"/>
    <w:basedOn w:val="Exampletext"/>
    <w:uiPriority w:val="1"/>
    <w:rsid w:val="00107A8E"/>
    <w:pPr>
      <w:ind w:left="1560"/>
    </w:pPr>
  </w:style>
  <w:style w:type="paragraph" w:customStyle="1" w:styleId="Baseparagraphcentred">
    <w:name w:val="Base paragraph centred"/>
    <w:basedOn w:val="Normal"/>
    <w:rsid w:val="00107A8E"/>
    <w:pPr>
      <w:spacing w:before="200" w:after="200"/>
      <w:jc w:val="center"/>
    </w:pPr>
    <w:rPr>
      <w:rFonts w:eastAsia="Times New Roman" w:cs="Times New Roman"/>
      <w:szCs w:val="20"/>
      <w:lang w:eastAsia="en-AU"/>
    </w:rPr>
  </w:style>
  <w:style w:type="paragraph" w:styleId="Footer">
    <w:name w:val="footer"/>
    <w:basedOn w:val="Normal"/>
    <w:link w:val="FooterChar"/>
    <w:rsid w:val="00107A8E"/>
    <w:pPr>
      <w:tabs>
        <w:tab w:val="center" w:pos="4153"/>
        <w:tab w:val="right" w:pos="8306"/>
      </w:tabs>
    </w:pPr>
  </w:style>
  <w:style w:type="character" w:customStyle="1" w:styleId="FooterChar">
    <w:name w:val="Footer Char"/>
    <w:basedOn w:val="DefaultParagraphFont"/>
    <w:link w:val="Footer"/>
    <w:rsid w:val="00107A8E"/>
    <w:rPr>
      <w:rFonts w:ascii="Times New Roman" w:hAnsi="Times New Roman"/>
      <w:kern w:val="0"/>
      <w14:ligatures w14:val="none"/>
    </w:rPr>
  </w:style>
  <w:style w:type="character" w:styleId="FootnoteReference">
    <w:name w:val="footnote reference"/>
    <w:basedOn w:val="DefaultParagraphFont"/>
    <w:uiPriority w:val="3"/>
    <w:rsid w:val="00107A8E"/>
    <w:rPr>
      <w:vertAlign w:val="superscript"/>
    </w:rPr>
  </w:style>
  <w:style w:type="paragraph" w:styleId="FootnoteText">
    <w:name w:val="footnote text"/>
    <w:basedOn w:val="Normal"/>
    <w:link w:val="FootnoteTextChar"/>
    <w:uiPriority w:val="3"/>
    <w:rsid w:val="00107A8E"/>
    <w:pPr>
      <w:spacing w:before="0" w:after="0"/>
    </w:pPr>
    <w:rPr>
      <w:sz w:val="20"/>
      <w:szCs w:val="20"/>
    </w:rPr>
  </w:style>
  <w:style w:type="character" w:customStyle="1" w:styleId="FootnoteTextChar">
    <w:name w:val="Footnote Text Char"/>
    <w:basedOn w:val="DefaultParagraphFont"/>
    <w:link w:val="FootnoteText"/>
    <w:uiPriority w:val="3"/>
    <w:rsid w:val="00107A8E"/>
    <w:rPr>
      <w:rFonts w:ascii="Times New Roman" w:hAnsi="Times New Roman"/>
      <w:kern w:val="0"/>
      <w:sz w:val="20"/>
      <w:szCs w:val="20"/>
      <w14:ligatures w14:val="none"/>
    </w:rPr>
  </w:style>
  <w:style w:type="paragraph" w:customStyle="1" w:styleId="Glossarytabletext">
    <w:name w:val="Glossary table text"/>
    <w:basedOn w:val="Normal"/>
    <w:uiPriority w:val="2"/>
    <w:rsid w:val="00107A8E"/>
    <w:pPr>
      <w:spacing w:before="60" w:after="60"/>
    </w:pPr>
    <w:rPr>
      <w:sz w:val="20"/>
    </w:rPr>
  </w:style>
  <w:style w:type="paragraph" w:styleId="Header">
    <w:name w:val="header"/>
    <w:basedOn w:val="Normal"/>
    <w:link w:val="HeaderChar"/>
    <w:semiHidden/>
    <w:rsid w:val="00107A8E"/>
    <w:pPr>
      <w:tabs>
        <w:tab w:val="center" w:pos="4153"/>
        <w:tab w:val="right" w:pos="8306"/>
      </w:tabs>
    </w:pPr>
  </w:style>
  <w:style w:type="character" w:customStyle="1" w:styleId="HeaderChar">
    <w:name w:val="Header Char"/>
    <w:basedOn w:val="DefaultParagraphFont"/>
    <w:link w:val="Header"/>
    <w:semiHidden/>
    <w:rsid w:val="00107A8E"/>
    <w:rPr>
      <w:rFonts w:ascii="Times New Roman" w:hAnsi="Times New Roman"/>
      <w:kern w:val="0"/>
      <w14:ligatures w14:val="none"/>
    </w:rPr>
  </w:style>
  <w:style w:type="table" w:customStyle="1" w:styleId="InstructionTable">
    <w:name w:val="Instruction Table"/>
    <w:basedOn w:val="TableNormal"/>
    <w:uiPriority w:val="99"/>
    <w:rsid w:val="00107A8E"/>
    <w:pPr>
      <w:spacing w:after="0" w:line="240" w:lineRule="auto"/>
    </w:pPr>
    <w:rPr>
      <w:kern w:val="0"/>
      <w14:ligatures w14:val="none"/>
    </w:r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107A8E"/>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107A8E"/>
    <w:rPr>
      <w:rFonts w:ascii="Calibri" w:hAnsi="Calibri"/>
      <w:color w:val="2F5496" w:themeColor="accent1" w:themeShade="BF"/>
      <w:kern w:val="0"/>
      <w14:ligatures w14:val="none"/>
    </w:rPr>
  </w:style>
  <w:style w:type="paragraph" w:customStyle="1" w:styleId="Instructionalguidancebold">
    <w:name w:val="Instructional guidance bold"/>
    <w:basedOn w:val="Instructionalguidance"/>
    <w:next w:val="Instructionalguidance"/>
    <w:link w:val="InstructionalguidanceboldChar"/>
    <w:uiPriority w:val="99"/>
    <w:rsid w:val="00107A8E"/>
    <w:pPr>
      <w:keepNext/>
    </w:pPr>
    <w:rPr>
      <w:b/>
      <w:bCs/>
    </w:rPr>
  </w:style>
  <w:style w:type="character" w:customStyle="1" w:styleId="InstructionalguidanceboldChar">
    <w:name w:val="Instructional guidance bold Char"/>
    <w:basedOn w:val="InstructionalguidanceChar"/>
    <w:link w:val="Instructionalguidancebold"/>
    <w:uiPriority w:val="99"/>
    <w:rsid w:val="00107A8E"/>
    <w:rPr>
      <w:rFonts w:ascii="Calibri" w:hAnsi="Calibri"/>
      <w:b/>
      <w:bCs/>
      <w:color w:val="2F5496" w:themeColor="accent1" w:themeShade="BF"/>
      <w:kern w:val="0"/>
      <w14:ligatures w14:val="none"/>
    </w:rPr>
  </w:style>
  <w:style w:type="paragraph" w:customStyle="1" w:styleId="Instructionalguidancedotpoint">
    <w:name w:val="Instructional guidance dot point"/>
    <w:basedOn w:val="Instructionalguidance"/>
    <w:link w:val="InstructionalguidancedotpointChar"/>
    <w:uiPriority w:val="99"/>
    <w:qFormat/>
    <w:rsid w:val="00107A8E"/>
    <w:pPr>
      <w:numPr>
        <w:numId w:val="13"/>
      </w:numPr>
    </w:pPr>
    <w:rPr>
      <w:rFonts w:eastAsia="Calibri"/>
      <w:lang w:eastAsia="en-GB"/>
    </w:rPr>
  </w:style>
  <w:style w:type="paragraph" w:customStyle="1" w:styleId="Instructionalguidancenumbered">
    <w:name w:val="Instructional guidance numbered"/>
    <w:basedOn w:val="Normal"/>
    <w:uiPriority w:val="99"/>
    <w:semiHidden/>
    <w:rsid w:val="00107A8E"/>
    <w:pPr>
      <w:numPr>
        <w:numId w:val="14"/>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107A8E"/>
    <w:rPr>
      <w:rFonts w:ascii="Calibri" w:hAnsi="Calibri"/>
      <w:b/>
      <w:color w:val="2F528F"/>
      <w:sz w:val="22"/>
      <w:u w:color="2F528F"/>
    </w:rPr>
  </w:style>
  <w:style w:type="paragraph" w:customStyle="1" w:styleId="leftfooter">
    <w:name w:val="left footer"/>
    <w:basedOn w:val="Normal"/>
    <w:uiPriority w:val="1"/>
    <w:rsid w:val="00107A8E"/>
    <w:pPr>
      <w:pBdr>
        <w:top w:val="single" w:sz="4" w:space="1" w:color="auto"/>
      </w:pBdr>
      <w:spacing w:before="240" w:after="0"/>
    </w:pPr>
    <w:rPr>
      <w:i/>
      <w:sz w:val="20"/>
    </w:rPr>
  </w:style>
  <w:style w:type="paragraph" w:customStyle="1" w:styleId="leftheader">
    <w:name w:val="left header"/>
    <w:basedOn w:val="Normal"/>
    <w:uiPriority w:val="1"/>
    <w:rsid w:val="00107A8E"/>
    <w:pPr>
      <w:pBdr>
        <w:bottom w:val="single" w:sz="4" w:space="1" w:color="auto"/>
      </w:pBdr>
    </w:pPr>
    <w:rPr>
      <w:i/>
      <w:sz w:val="20"/>
    </w:rPr>
  </w:style>
  <w:style w:type="paragraph" w:customStyle="1" w:styleId="Normalparatextwithnumbers">
    <w:name w:val="Normal para text (with numbers)"/>
    <w:basedOn w:val="Normalparatextnonumbers"/>
    <w:qFormat/>
    <w:rsid w:val="00107A8E"/>
    <w:pPr>
      <w:numPr>
        <w:ilvl w:val="1"/>
        <w:numId w:val="3"/>
      </w:numPr>
    </w:pPr>
  </w:style>
  <w:style w:type="paragraph" w:customStyle="1" w:styleId="PurposeheadingnoTOC">
    <w:name w:val="Purpose heading (no TOC)"/>
    <w:basedOn w:val="Normal"/>
    <w:next w:val="Normalparatextnonumbers"/>
    <w:rsid w:val="00107A8E"/>
    <w:pPr>
      <w:spacing w:before="480" w:after="480"/>
    </w:pPr>
    <w:rPr>
      <w:rFonts w:ascii="Helvitica" w:hAnsi="Helvitica"/>
      <w:sz w:val="48"/>
    </w:rPr>
  </w:style>
  <w:style w:type="paragraph" w:styleId="Quote">
    <w:name w:val="Quote"/>
    <w:basedOn w:val="Normal"/>
    <w:next w:val="Normal"/>
    <w:link w:val="QuoteChar"/>
    <w:uiPriority w:val="29"/>
    <w:rsid w:val="00107A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7A8E"/>
    <w:rPr>
      <w:rFonts w:ascii="Times New Roman" w:hAnsi="Times New Roman"/>
      <w:i/>
      <w:iCs/>
      <w:color w:val="404040" w:themeColor="text1" w:themeTint="BF"/>
      <w:kern w:val="0"/>
      <w14:ligatures w14:val="none"/>
    </w:rPr>
  </w:style>
  <w:style w:type="paragraph" w:styleId="EndnoteText">
    <w:name w:val="endnote text"/>
    <w:basedOn w:val="Normal"/>
    <w:link w:val="EndnoteTextChar"/>
    <w:uiPriority w:val="3"/>
    <w:rsid w:val="00107A8E"/>
    <w:pPr>
      <w:spacing w:before="0" w:after="0"/>
    </w:pPr>
    <w:rPr>
      <w:sz w:val="20"/>
      <w:szCs w:val="20"/>
    </w:rPr>
  </w:style>
  <w:style w:type="character" w:customStyle="1" w:styleId="EndnoteTextChar">
    <w:name w:val="Endnote Text Char"/>
    <w:basedOn w:val="DefaultParagraphFont"/>
    <w:link w:val="EndnoteText"/>
    <w:uiPriority w:val="3"/>
    <w:rsid w:val="00107A8E"/>
    <w:rPr>
      <w:rFonts w:ascii="Times New Roman" w:hAnsi="Times New Roman"/>
      <w:kern w:val="0"/>
      <w:sz w:val="20"/>
      <w:szCs w:val="20"/>
      <w14:ligatures w14:val="none"/>
    </w:rPr>
  </w:style>
  <w:style w:type="character" w:customStyle="1" w:styleId="References">
    <w:name w:val="References"/>
    <w:basedOn w:val="DefaultParagraphFont"/>
    <w:uiPriority w:val="1"/>
    <w:rsid w:val="00107A8E"/>
    <w:rPr>
      <w:rFonts w:ascii="Times New Roman" w:hAnsi="Times New Roman"/>
      <w:b/>
      <w:bCs/>
      <w:i/>
      <w:iCs/>
      <w:sz w:val="22"/>
    </w:rPr>
  </w:style>
  <w:style w:type="paragraph" w:customStyle="1" w:styleId="rightfooter">
    <w:name w:val="right footer"/>
    <w:basedOn w:val="Normal"/>
    <w:uiPriority w:val="1"/>
    <w:rsid w:val="00107A8E"/>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107A8E"/>
    <w:pPr>
      <w:pBdr>
        <w:bottom w:val="single" w:sz="4" w:space="1" w:color="auto"/>
      </w:pBdr>
      <w:jc w:val="right"/>
    </w:pPr>
    <w:rPr>
      <w:i/>
      <w:sz w:val="20"/>
    </w:rPr>
  </w:style>
  <w:style w:type="paragraph" w:customStyle="1" w:styleId="RISbullet">
    <w:name w:val="RIS bullet"/>
    <w:basedOn w:val="Dotpoint1"/>
    <w:uiPriority w:val="2"/>
    <w:rsid w:val="00107A8E"/>
    <w:pPr>
      <w:tabs>
        <w:tab w:val="left" w:pos="567"/>
      </w:tabs>
      <w:ind w:left="851" w:hanging="284"/>
    </w:pPr>
  </w:style>
  <w:style w:type="paragraph" w:customStyle="1" w:styleId="RISbullet2">
    <w:name w:val="RIS bullet 2"/>
    <w:basedOn w:val="RISbullet"/>
    <w:uiPriority w:val="2"/>
    <w:rsid w:val="00107A8E"/>
    <w:pPr>
      <w:numPr>
        <w:numId w:val="16"/>
      </w:numPr>
      <w:tabs>
        <w:tab w:val="clear" w:pos="567"/>
        <w:tab w:val="num" w:pos="360"/>
      </w:tabs>
      <w:ind w:left="720"/>
    </w:pPr>
  </w:style>
  <w:style w:type="paragraph" w:customStyle="1" w:styleId="Tabledotpoint1">
    <w:name w:val="Table dot point 1"/>
    <w:basedOn w:val="Normalparatextnonumbers"/>
    <w:uiPriority w:val="1"/>
    <w:rsid w:val="00107A8E"/>
    <w:pPr>
      <w:numPr>
        <w:numId w:val="17"/>
      </w:numPr>
      <w:ind w:left="425" w:hanging="425"/>
    </w:pPr>
    <w:rPr>
      <w:sz w:val="20"/>
    </w:rPr>
  </w:style>
  <w:style w:type="paragraph" w:customStyle="1" w:styleId="Tabledotpoint2">
    <w:name w:val="Table dot point 2"/>
    <w:basedOn w:val="Tabledotpoint1"/>
    <w:uiPriority w:val="1"/>
    <w:rsid w:val="00107A8E"/>
    <w:pPr>
      <w:numPr>
        <w:numId w:val="18"/>
      </w:numPr>
      <w:ind w:left="850" w:hanging="425"/>
    </w:pPr>
  </w:style>
  <w:style w:type="paragraph" w:customStyle="1" w:styleId="Tableheaderrowtext">
    <w:name w:val="Table header row text"/>
    <w:basedOn w:val="Heading4"/>
    <w:uiPriority w:val="1"/>
    <w:rsid w:val="00107A8E"/>
    <w:pPr>
      <w:keepLines w:val="0"/>
      <w:spacing w:before="120" w:after="120"/>
    </w:pPr>
    <w:rPr>
      <w:rFonts w:eastAsia="Times New Roman" w:cs="Helvetica"/>
      <w:b/>
      <w:i/>
      <w:sz w:val="22"/>
    </w:rPr>
  </w:style>
  <w:style w:type="paragraph" w:styleId="TOC1">
    <w:name w:val="toc 1"/>
    <w:basedOn w:val="Normal"/>
    <w:next w:val="TOC2"/>
    <w:uiPriority w:val="39"/>
    <w:rsid w:val="00107A8E"/>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107A8E"/>
    <w:pPr>
      <w:tabs>
        <w:tab w:val="right" w:leader="dot" w:pos="7655"/>
      </w:tabs>
    </w:pPr>
    <w:rPr>
      <w:rFonts w:ascii="Helvetica" w:hAnsi="Helvetica"/>
      <w:noProof/>
      <w:sz w:val="24"/>
    </w:rPr>
  </w:style>
  <w:style w:type="paragraph" w:styleId="TOC3">
    <w:name w:val="toc 3"/>
    <w:basedOn w:val="Normal"/>
    <w:next w:val="Normal"/>
    <w:uiPriority w:val="39"/>
    <w:unhideWhenUsed/>
    <w:rsid w:val="00107A8E"/>
    <w:pPr>
      <w:tabs>
        <w:tab w:val="right" w:leader="dot" w:pos="7655"/>
      </w:tabs>
      <w:ind w:left="442"/>
    </w:pPr>
    <w:rPr>
      <w:rFonts w:ascii="Helvitica" w:hAnsi="Helvitica" w:cstheme="minorHAnsi"/>
      <w:iCs/>
      <w:sz w:val="24"/>
      <w:szCs w:val="20"/>
    </w:rPr>
  </w:style>
  <w:style w:type="paragraph" w:customStyle="1" w:styleId="Tabletext">
    <w:name w:val="Table text"/>
    <w:basedOn w:val="Normal"/>
    <w:link w:val="TabletextChar"/>
    <w:uiPriority w:val="1"/>
    <w:rsid w:val="00107A8E"/>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107A8E"/>
    <w:pPr>
      <w:spacing w:before="360" w:after="360"/>
    </w:pPr>
    <w:rPr>
      <w:rFonts w:ascii="Helvitica" w:hAnsi="Helvitica"/>
      <w:sz w:val="40"/>
    </w:rPr>
  </w:style>
  <w:style w:type="paragraph" w:customStyle="1" w:styleId="Coverpageheading">
    <w:name w:val="Cover page heading"/>
    <w:basedOn w:val="Normalparatextnonumbers"/>
    <w:next w:val="Normalparatextnonumbers"/>
    <w:uiPriority w:val="1"/>
    <w:qFormat/>
    <w:rsid w:val="00107A8E"/>
    <w:pPr>
      <w:spacing w:after="480"/>
      <w:jc w:val="center"/>
    </w:pPr>
    <w:rPr>
      <w:rFonts w:ascii="Helvitica" w:hAnsi="Helvitica"/>
      <w:sz w:val="36"/>
    </w:rPr>
  </w:style>
  <w:style w:type="paragraph" w:styleId="NoSpacing">
    <w:name w:val="No Spacing"/>
    <w:uiPriority w:val="3"/>
    <w:rsid w:val="00107A8E"/>
    <w:pPr>
      <w:spacing w:after="0" w:line="240" w:lineRule="auto"/>
    </w:pPr>
    <w:rPr>
      <w:kern w:val="0"/>
      <w14:ligatures w14:val="none"/>
    </w:rPr>
  </w:style>
  <w:style w:type="character" w:styleId="Hyperlink">
    <w:name w:val="Hyperlink"/>
    <w:basedOn w:val="DefaultParagraphFont"/>
    <w:uiPriority w:val="99"/>
    <w:rsid w:val="00107A8E"/>
    <w:rPr>
      <w:color w:val="0563C1" w:themeColor="hyperlink"/>
      <w:u w:val="single"/>
    </w:rPr>
  </w:style>
  <w:style w:type="table" w:styleId="TableGrid">
    <w:name w:val="Table Grid"/>
    <w:basedOn w:val="TableNormal"/>
    <w:rsid w:val="00107A8E"/>
    <w:pPr>
      <w:spacing w:before="120" w:after="120" w:line="240" w:lineRule="auto"/>
      <w:ind w:left="1134"/>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107A8E"/>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107A8E"/>
    <w:pPr>
      <w:spacing w:before="0" w:after="0"/>
    </w:pPr>
  </w:style>
  <w:style w:type="paragraph" w:customStyle="1" w:styleId="Referenceafterdotpoint">
    <w:name w:val="Reference after dot point"/>
    <w:basedOn w:val="Normalparatextnonumbers"/>
    <w:next w:val="Dotpoint1"/>
    <w:rsid w:val="00107A8E"/>
    <w:pPr>
      <w:spacing w:before="0" w:after="0"/>
      <w:ind w:left="709"/>
    </w:pPr>
    <w:rPr>
      <w:b/>
      <w:i/>
      <w:noProof/>
    </w:rPr>
  </w:style>
  <w:style w:type="paragraph" w:customStyle="1" w:styleId="Scheduleheading">
    <w:name w:val="Schedule heading"/>
    <w:basedOn w:val="Heading2"/>
    <w:next w:val="Normalparatextnonumbers"/>
    <w:link w:val="ScheduleheadingChar"/>
    <w:rsid w:val="00107A8E"/>
  </w:style>
  <w:style w:type="character" w:customStyle="1" w:styleId="ScheduleheadingChar">
    <w:name w:val="Schedule heading Char"/>
    <w:basedOn w:val="Heading2Char"/>
    <w:link w:val="Scheduleheading"/>
    <w:rsid w:val="00107A8E"/>
    <w:rPr>
      <w:rFonts w:ascii="Helvitica" w:eastAsiaTheme="majorEastAsia" w:hAnsi="Helvitica" w:cstheme="majorBidi"/>
      <w:kern w:val="0"/>
      <w:sz w:val="36"/>
      <w:szCs w:val="26"/>
      <w14:ligatures w14:val="none"/>
    </w:rPr>
  </w:style>
  <w:style w:type="character" w:styleId="UnresolvedMention">
    <w:name w:val="Unresolved Mention"/>
    <w:basedOn w:val="DefaultParagraphFont"/>
    <w:uiPriority w:val="99"/>
    <w:semiHidden/>
    <w:unhideWhenUsed/>
    <w:rsid w:val="00107A8E"/>
    <w:rPr>
      <w:color w:val="605E5C"/>
      <w:shd w:val="clear" w:color="auto" w:fill="E1DFDD"/>
    </w:rPr>
  </w:style>
  <w:style w:type="paragraph" w:styleId="Revision">
    <w:name w:val="Revision"/>
    <w:hidden/>
    <w:uiPriority w:val="99"/>
    <w:semiHidden/>
    <w:rsid w:val="00107A8E"/>
    <w:pPr>
      <w:spacing w:after="0" w:line="240" w:lineRule="auto"/>
    </w:pPr>
    <w:rPr>
      <w:rFonts w:ascii="Times New Roman" w:hAnsi="Times New Roman"/>
      <w:kern w:val="0"/>
      <w14:ligatures w14:val="none"/>
    </w:rPr>
  </w:style>
  <w:style w:type="character" w:styleId="PlaceholderText">
    <w:name w:val="Placeholder Text"/>
    <w:basedOn w:val="DefaultParagraphFont"/>
    <w:uiPriority w:val="99"/>
    <w:semiHidden/>
    <w:rsid w:val="00107A8E"/>
    <w:rPr>
      <w:color w:val="808080"/>
    </w:rPr>
  </w:style>
  <w:style w:type="character" w:styleId="FollowedHyperlink">
    <w:name w:val="FollowedHyperlink"/>
    <w:basedOn w:val="DefaultParagraphFont"/>
    <w:uiPriority w:val="99"/>
    <w:semiHidden/>
    <w:unhideWhenUsed/>
    <w:rsid w:val="00107A8E"/>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107A8E"/>
    <w:rPr>
      <w:rFonts w:ascii="Calibri" w:eastAsia="Calibri" w:hAnsi="Calibri"/>
      <w:color w:val="2F5496" w:themeColor="accent1" w:themeShade="BF"/>
      <w:kern w:val="0"/>
      <w:lang w:eastAsia="en-GB"/>
      <w14:ligatures w14:val="none"/>
    </w:rPr>
  </w:style>
  <w:style w:type="paragraph" w:customStyle="1" w:styleId="Bullet">
    <w:name w:val="Bullet"/>
    <w:basedOn w:val="Normal"/>
    <w:link w:val="BulletChar"/>
    <w:rsid w:val="00107A8E"/>
    <w:pPr>
      <w:numPr>
        <w:numId w:val="20"/>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107A8E"/>
    <w:rPr>
      <w:rFonts w:ascii="Times New Roman" w:eastAsia="Calibri" w:hAnsi="Times New Roman"/>
      <w:color w:val="2F5496" w:themeColor="accent1" w:themeShade="BF"/>
      <w:kern w:val="0"/>
      <w:lang w:eastAsia="en-GB"/>
      <w14:ligatures w14:val="none"/>
    </w:rPr>
  </w:style>
  <w:style w:type="paragraph" w:customStyle="1" w:styleId="DoubleDot">
    <w:name w:val="Double Dot"/>
    <w:basedOn w:val="Normal"/>
    <w:rsid w:val="00107A8E"/>
    <w:pPr>
      <w:numPr>
        <w:ilvl w:val="2"/>
        <w:numId w:val="20"/>
      </w:numPr>
      <w:tabs>
        <w:tab w:val="left" w:pos="720"/>
      </w:tabs>
    </w:pPr>
    <w:rPr>
      <w:rFonts w:eastAsia="Calibri"/>
      <w:color w:val="2F5496" w:themeColor="accent1" w:themeShade="BF"/>
      <w:lang w:eastAsia="en-GB"/>
    </w:rPr>
  </w:style>
  <w:style w:type="paragraph" w:customStyle="1" w:styleId="base-text-paragraph">
    <w:name w:val="base-text-paragraph"/>
    <w:basedOn w:val="Normal"/>
    <w:link w:val="base-text-paragraphChar"/>
    <w:uiPriority w:val="1"/>
    <w:rsid w:val="00107A8E"/>
    <w:pPr>
      <w:ind w:left="568"/>
    </w:pPr>
    <w:rPr>
      <w:rFonts w:asciiTheme="minorHAnsi" w:eastAsiaTheme="minorEastAsia" w:hAnsiTheme="minorHAnsi"/>
      <w:lang w:eastAsia="en-AU"/>
    </w:rPr>
  </w:style>
  <w:style w:type="character" w:customStyle="1" w:styleId="base-text-paragraphChar">
    <w:name w:val="base-text-paragraph Char"/>
    <w:basedOn w:val="DefaultParagraphFont"/>
    <w:link w:val="base-text-paragraph"/>
    <w:uiPriority w:val="1"/>
    <w:rsid w:val="00107A8E"/>
    <w:rPr>
      <w:rFonts w:eastAsiaTheme="minorEastAsia"/>
      <w:kern w:val="0"/>
      <w:lang w:eastAsia="en-AU"/>
      <w14:ligatures w14:val="none"/>
    </w:rPr>
  </w:style>
  <w:style w:type="paragraph" w:styleId="ListParagraph">
    <w:name w:val="List Paragraph"/>
    <w:basedOn w:val="Normal"/>
    <w:uiPriority w:val="34"/>
    <w:qFormat/>
    <w:rsid w:val="00107A8E"/>
    <w:pPr>
      <w:ind w:left="720"/>
      <w:contextualSpacing/>
    </w:pPr>
  </w:style>
  <w:style w:type="paragraph" w:styleId="CommentText">
    <w:name w:val="annotation text"/>
    <w:basedOn w:val="Normal"/>
    <w:link w:val="CommentTextChar"/>
    <w:uiPriority w:val="99"/>
    <w:unhideWhenUsed/>
    <w:rsid w:val="00107A8E"/>
    <w:rPr>
      <w:sz w:val="20"/>
      <w:szCs w:val="20"/>
    </w:rPr>
  </w:style>
  <w:style w:type="character" w:customStyle="1" w:styleId="CommentTextChar">
    <w:name w:val="Comment Text Char"/>
    <w:basedOn w:val="DefaultParagraphFont"/>
    <w:link w:val="CommentText"/>
    <w:uiPriority w:val="99"/>
    <w:rsid w:val="00107A8E"/>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sid w:val="00107A8E"/>
    <w:rPr>
      <w:sz w:val="16"/>
      <w:szCs w:val="16"/>
    </w:rPr>
  </w:style>
  <w:style w:type="paragraph" w:styleId="CommentSubject">
    <w:name w:val="annotation subject"/>
    <w:basedOn w:val="CommentText"/>
    <w:next w:val="CommentText"/>
    <w:link w:val="CommentSubjectChar"/>
    <w:uiPriority w:val="99"/>
    <w:semiHidden/>
    <w:unhideWhenUsed/>
    <w:rsid w:val="00107A8E"/>
    <w:rPr>
      <w:b/>
      <w:bCs/>
    </w:rPr>
  </w:style>
  <w:style w:type="character" w:customStyle="1" w:styleId="CommentSubjectChar">
    <w:name w:val="Comment Subject Char"/>
    <w:basedOn w:val="CommentTextChar"/>
    <w:link w:val="CommentSubject"/>
    <w:uiPriority w:val="99"/>
    <w:semiHidden/>
    <w:rsid w:val="00107A8E"/>
    <w:rPr>
      <w:rFonts w:ascii="Times New Roman" w:hAnsi="Times New Roman"/>
      <w:b/>
      <w:bCs/>
      <w:kern w:val="0"/>
      <w:sz w:val="20"/>
      <w:szCs w:val="20"/>
      <w14:ligatures w14:val="none"/>
    </w:rPr>
  </w:style>
  <w:style w:type="character" w:styleId="Mention">
    <w:name w:val="Mention"/>
    <w:basedOn w:val="DefaultParagraphFont"/>
    <w:uiPriority w:val="99"/>
    <w:unhideWhenUsed/>
    <w:rsid w:val="00107A8E"/>
    <w:rPr>
      <w:color w:val="2B579A"/>
      <w:shd w:val="clear" w:color="auto" w:fill="E1DFDD"/>
    </w:rPr>
  </w:style>
  <w:style w:type="character" w:customStyle="1" w:styleId="normaltextrun">
    <w:name w:val="normaltextrun"/>
    <w:basedOn w:val="DefaultParagraphFont"/>
    <w:rsid w:val="00EE3E3E"/>
  </w:style>
  <w:style w:type="character" w:customStyle="1" w:styleId="eop">
    <w:name w:val="eop"/>
    <w:basedOn w:val="DefaultParagraphFont"/>
    <w:rsid w:val="00EE3E3E"/>
  </w:style>
  <w:style w:type="paragraph" w:styleId="TOC4">
    <w:name w:val="toc 4"/>
    <w:basedOn w:val="Normal"/>
    <w:next w:val="Normal"/>
    <w:autoRedefine/>
    <w:uiPriority w:val="39"/>
    <w:semiHidden/>
    <w:unhideWhenUsed/>
    <w:rsid w:val="00EE3E3E"/>
    <w:pPr>
      <w:spacing w:after="100"/>
      <w:ind w:left="660"/>
    </w:pPr>
  </w:style>
  <w:style w:type="paragraph" w:styleId="TOC5">
    <w:name w:val="toc 5"/>
    <w:basedOn w:val="Normal"/>
    <w:next w:val="Normal"/>
    <w:autoRedefine/>
    <w:uiPriority w:val="39"/>
    <w:semiHidden/>
    <w:unhideWhenUsed/>
    <w:rsid w:val="00EE3E3E"/>
    <w:pPr>
      <w:spacing w:after="100"/>
      <w:ind w:left="880"/>
    </w:pPr>
  </w:style>
  <w:style w:type="paragraph" w:styleId="TOC6">
    <w:name w:val="toc 6"/>
    <w:basedOn w:val="Normal"/>
    <w:next w:val="Normal"/>
    <w:autoRedefine/>
    <w:uiPriority w:val="39"/>
    <w:semiHidden/>
    <w:unhideWhenUsed/>
    <w:rsid w:val="00EE3E3E"/>
    <w:pPr>
      <w:spacing w:after="100"/>
      <w:ind w:left="1100"/>
    </w:pPr>
  </w:style>
  <w:style w:type="paragraph" w:styleId="TOC7">
    <w:name w:val="toc 7"/>
    <w:basedOn w:val="Normal"/>
    <w:next w:val="Normal"/>
    <w:autoRedefine/>
    <w:uiPriority w:val="39"/>
    <w:semiHidden/>
    <w:unhideWhenUsed/>
    <w:rsid w:val="00EE3E3E"/>
    <w:pPr>
      <w:spacing w:after="100"/>
      <w:ind w:left="1320"/>
    </w:pPr>
  </w:style>
  <w:style w:type="paragraph" w:styleId="TOC8">
    <w:name w:val="toc 8"/>
    <w:basedOn w:val="Normal"/>
    <w:next w:val="Normal"/>
    <w:autoRedefine/>
    <w:uiPriority w:val="39"/>
    <w:semiHidden/>
    <w:unhideWhenUsed/>
    <w:rsid w:val="00EE3E3E"/>
    <w:pPr>
      <w:spacing w:after="100"/>
      <w:ind w:left="1540"/>
    </w:pPr>
  </w:style>
  <w:style w:type="paragraph" w:styleId="TOC9">
    <w:name w:val="toc 9"/>
    <w:basedOn w:val="Normal"/>
    <w:next w:val="Normal"/>
    <w:autoRedefine/>
    <w:uiPriority w:val="39"/>
    <w:semiHidden/>
    <w:unhideWhenUsed/>
    <w:rsid w:val="00EE3E3E"/>
    <w:pPr>
      <w:spacing w:after="100"/>
      <w:ind w:left="1760"/>
    </w:pPr>
  </w:style>
  <w:style w:type="paragraph" w:customStyle="1" w:styleId="OutlineNumbered1">
    <w:name w:val="Outline Numbered 1"/>
    <w:basedOn w:val="Normal"/>
    <w:link w:val="OutlineNumbered1Char"/>
    <w:rsid w:val="00B43E7D"/>
    <w:pPr>
      <w:numPr>
        <w:numId w:val="36"/>
      </w:numPr>
    </w:pPr>
    <w:rPr>
      <w:rFonts w:eastAsia="Times New Roman" w:cs="Times New Roman"/>
      <w:sz w:val="20"/>
      <w:szCs w:val="20"/>
      <w:lang w:eastAsia="en-AU"/>
    </w:rPr>
  </w:style>
  <w:style w:type="character" w:customStyle="1" w:styleId="TabletextChar">
    <w:name w:val="Table text Char"/>
    <w:basedOn w:val="DefaultParagraphFont"/>
    <w:link w:val="Tabletext"/>
    <w:uiPriority w:val="1"/>
    <w:rsid w:val="00B43E7D"/>
    <w:rPr>
      <w:rFonts w:ascii="Times New Roman" w:eastAsia="Times New Roman" w:hAnsi="Times New Roman" w:cs="Times New Roman"/>
      <w:kern w:val="0"/>
      <w:sz w:val="20"/>
      <w:szCs w:val="20"/>
      <w:lang w:eastAsia="en-AU"/>
      <w14:ligatures w14:val="none"/>
    </w:rPr>
  </w:style>
  <w:style w:type="character" w:customStyle="1" w:styleId="OutlineNumbered1Char">
    <w:name w:val="Outline Numbered 1 Char"/>
    <w:basedOn w:val="TabletextChar"/>
    <w:link w:val="OutlineNumbered1"/>
    <w:rsid w:val="00B43E7D"/>
    <w:rPr>
      <w:rFonts w:ascii="Times New Roman" w:eastAsia="Times New Roman" w:hAnsi="Times New Roman" w:cs="Times New Roman"/>
      <w:kern w:val="0"/>
      <w:sz w:val="20"/>
      <w:szCs w:val="20"/>
      <w:lang w:eastAsia="en-AU"/>
      <w14:ligatures w14:val="none"/>
    </w:rPr>
  </w:style>
  <w:style w:type="paragraph" w:customStyle="1" w:styleId="OutlineNumbered2">
    <w:name w:val="Outline Numbered 2"/>
    <w:basedOn w:val="Normal"/>
    <w:link w:val="OutlineNumbered2Char"/>
    <w:rsid w:val="00B43E7D"/>
    <w:pPr>
      <w:numPr>
        <w:ilvl w:val="1"/>
        <w:numId w:val="36"/>
      </w:numPr>
    </w:pPr>
    <w:rPr>
      <w:rFonts w:eastAsia="Times New Roman" w:cs="Times New Roman"/>
      <w:sz w:val="20"/>
      <w:szCs w:val="20"/>
      <w:lang w:eastAsia="en-AU"/>
    </w:rPr>
  </w:style>
  <w:style w:type="character" w:customStyle="1" w:styleId="OutlineNumbered2Char">
    <w:name w:val="Outline Numbered 2 Char"/>
    <w:basedOn w:val="TabletextChar"/>
    <w:link w:val="OutlineNumbered2"/>
    <w:rsid w:val="00B43E7D"/>
    <w:rPr>
      <w:rFonts w:ascii="Times New Roman" w:eastAsia="Times New Roman" w:hAnsi="Times New Roman" w:cs="Times New Roman"/>
      <w:kern w:val="0"/>
      <w:sz w:val="20"/>
      <w:szCs w:val="20"/>
      <w:lang w:eastAsia="en-AU"/>
      <w14:ligatures w14:val="none"/>
    </w:rPr>
  </w:style>
  <w:style w:type="paragraph" w:customStyle="1" w:styleId="OutlineNumbered3">
    <w:name w:val="Outline Numbered 3"/>
    <w:basedOn w:val="Normal"/>
    <w:link w:val="OutlineNumbered3Char"/>
    <w:rsid w:val="00B43E7D"/>
    <w:pPr>
      <w:numPr>
        <w:ilvl w:val="2"/>
        <w:numId w:val="36"/>
      </w:numPr>
    </w:pPr>
    <w:rPr>
      <w:rFonts w:eastAsia="Times New Roman" w:cs="Times New Roman"/>
      <w:sz w:val="20"/>
      <w:szCs w:val="20"/>
      <w:lang w:eastAsia="en-AU"/>
    </w:rPr>
  </w:style>
  <w:style w:type="character" w:customStyle="1" w:styleId="OutlineNumbered3Char">
    <w:name w:val="Outline Numbered 3 Char"/>
    <w:basedOn w:val="TabletextChar"/>
    <w:link w:val="OutlineNumbered3"/>
    <w:rsid w:val="00B43E7D"/>
    <w:rPr>
      <w:rFonts w:ascii="Times New Roman" w:eastAsia="Times New Roman" w:hAnsi="Times New Roman" w:cs="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3960-E4BE-44F8-B5C3-0122A6DA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4118</Words>
  <Characters>21059</Characters>
  <Application>Microsoft Office Word</Application>
  <DocSecurity>2</DocSecurity>
  <Lines>501</Lines>
  <Paragraphs>154</Paragraphs>
  <ScaleCrop>false</ScaleCrop>
  <HeadingPairs>
    <vt:vector size="2" baseType="variant">
      <vt:variant>
        <vt:lpstr>Title</vt:lpstr>
      </vt:variant>
      <vt:variant>
        <vt:i4>1</vt:i4>
      </vt:variant>
    </vt:vector>
  </HeadingPairs>
  <TitlesOfParts>
    <vt:vector size="1" baseType="lpstr">
      <vt:lpstr>Explanatory materials – Exposure draft – Treasury Laws Amendment (Fairer for Families and Farmers) Bill 2024: industry codes (penalties and other amendments)</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Exposure draft – Treasury Laws Amendment (Fairer for Families and Farmers) Bill 2024: industry codes (penalties and other amendments)</dc:title>
  <dc:subject/>
  <dc:creator/>
  <cp:keywords/>
  <dc:description/>
  <cp:lastModifiedBy/>
  <cp:revision>1</cp:revision>
  <dcterms:created xsi:type="dcterms:W3CDTF">2024-09-20T04:38:00Z</dcterms:created>
  <dcterms:modified xsi:type="dcterms:W3CDTF">2024-09-20T04:39:00Z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2024-09-20T04:39:27Z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e46a3faa-af54-412b-9b6a-65bdd2389c0a</vt:lpwstr>
  </property>
  <property fmtid="{D5CDD505-2E9C-101B-9397-08002B2CF9AE}" pid="8" name="MSIP_Label_4f932d64-9ab1-4d9b-81d2-a3a8b82dd47d_ContentBits">
    <vt:lpwstr>0</vt:lpwstr>
  </property>
</Properties>
</file>